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1E" w:rsidRPr="009570D9" w:rsidRDefault="00EF1D5F" w:rsidP="00F47C18">
      <w:pPr>
        <w:tabs>
          <w:tab w:val="left" w:pos="5103"/>
        </w:tabs>
        <w:jc w:val="righ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457041" cy="3798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_Yatirim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15" cy="4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1E" w:rsidRPr="009570D9" w:rsidRDefault="001F461E" w:rsidP="001F461E">
      <w:pPr>
        <w:pBdr>
          <w:bottom w:val="single" w:sz="6" w:space="1" w:color="auto"/>
        </w:pBdr>
        <w:rPr>
          <w:b/>
          <w:sz w:val="28"/>
          <w:szCs w:val="28"/>
        </w:rPr>
      </w:pPr>
      <w:r w:rsidRPr="009570D9">
        <w:rPr>
          <w:b/>
          <w:sz w:val="28"/>
          <w:szCs w:val="28"/>
        </w:rPr>
        <w:t>BASIN BÜLTENİ</w:t>
      </w:r>
    </w:p>
    <w:p w:rsidR="001F461E" w:rsidRPr="009570D9" w:rsidRDefault="00EF1D5F" w:rsidP="001F46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AF06EB">
        <w:rPr>
          <w:b/>
          <w:sz w:val="26"/>
          <w:szCs w:val="26"/>
        </w:rPr>
        <w:t xml:space="preserve"> </w:t>
      </w:r>
      <w:r w:rsidR="00413455">
        <w:rPr>
          <w:b/>
          <w:sz w:val="26"/>
          <w:szCs w:val="26"/>
        </w:rPr>
        <w:t>Aralık</w:t>
      </w:r>
      <w:r w:rsidR="00F47C18">
        <w:rPr>
          <w:b/>
          <w:sz w:val="26"/>
          <w:szCs w:val="26"/>
        </w:rPr>
        <w:t xml:space="preserve"> 201</w:t>
      </w:r>
      <w:r w:rsidR="00413455">
        <w:rPr>
          <w:b/>
          <w:sz w:val="26"/>
          <w:szCs w:val="26"/>
        </w:rPr>
        <w:t>6</w:t>
      </w:r>
    </w:p>
    <w:p w:rsidR="004A72AE" w:rsidRDefault="00413455" w:rsidP="00ED04ED">
      <w:pPr>
        <w:pBdr>
          <w:bottom w:val="single" w:sz="4" w:space="1" w:color="auto"/>
        </w:pBdr>
        <w:spacing w:before="0"/>
        <w:jc w:val="center"/>
        <w:rPr>
          <w:b/>
          <w:bCs/>
          <w:sz w:val="32"/>
          <w:szCs w:val="22"/>
          <w:lang w:eastAsia="en-US"/>
        </w:rPr>
      </w:pPr>
      <w:r>
        <w:rPr>
          <w:b/>
          <w:bCs/>
          <w:sz w:val="32"/>
          <w:szCs w:val="22"/>
          <w:lang w:eastAsia="en-US"/>
        </w:rPr>
        <w:t>SAHA</w:t>
      </w:r>
      <w:r w:rsidR="00FE5076">
        <w:rPr>
          <w:b/>
          <w:bCs/>
          <w:sz w:val="32"/>
          <w:szCs w:val="22"/>
          <w:lang w:eastAsia="en-US"/>
        </w:rPr>
        <w:t xml:space="preserve"> </w:t>
      </w:r>
      <w:proofErr w:type="spellStart"/>
      <w:r w:rsidR="00ED04ED">
        <w:rPr>
          <w:b/>
          <w:bCs/>
          <w:sz w:val="32"/>
          <w:szCs w:val="22"/>
          <w:lang w:eastAsia="en-US"/>
        </w:rPr>
        <w:t>Rating</w:t>
      </w:r>
      <w:proofErr w:type="spellEnd"/>
      <w:r w:rsidR="00ED04ED">
        <w:rPr>
          <w:b/>
          <w:bCs/>
          <w:sz w:val="32"/>
          <w:szCs w:val="22"/>
          <w:lang w:eastAsia="en-US"/>
        </w:rPr>
        <w:t xml:space="preserve"> </w:t>
      </w:r>
      <w:r w:rsidR="00CA3420" w:rsidRPr="005C2E17">
        <w:rPr>
          <w:b/>
          <w:bCs/>
          <w:sz w:val="32"/>
          <w:szCs w:val="22"/>
          <w:lang w:eastAsia="en-US"/>
        </w:rPr>
        <w:t>İş Yatırım</w:t>
      </w:r>
      <w:r w:rsidR="004A72AE">
        <w:rPr>
          <w:b/>
          <w:bCs/>
          <w:sz w:val="32"/>
          <w:szCs w:val="22"/>
          <w:lang w:eastAsia="en-US"/>
        </w:rPr>
        <w:t>’ın</w:t>
      </w:r>
    </w:p>
    <w:p w:rsidR="00ED04ED" w:rsidRDefault="00527E7F" w:rsidP="00ED04ED">
      <w:pPr>
        <w:pBdr>
          <w:bottom w:val="single" w:sz="4" w:space="1" w:color="auto"/>
        </w:pBdr>
        <w:spacing w:before="0"/>
        <w:jc w:val="center"/>
        <w:rPr>
          <w:b/>
          <w:bCs/>
          <w:sz w:val="32"/>
          <w:szCs w:val="22"/>
          <w:lang w:eastAsia="en-US"/>
        </w:rPr>
      </w:pPr>
      <w:r>
        <w:rPr>
          <w:b/>
          <w:bCs/>
          <w:sz w:val="32"/>
          <w:szCs w:val="22"/>
          <w:lang w:eastAsia="en-US"/>
        </w:rPr>
        <w:t xml:space="preserve">SPK </w:t>
      </w:r>
      <w:r w:rsidR="00CA3420" w:rsidRPr="005C2E17">
        <w:rPr>
          <w:b/>
          <w:bCs/>
          <w:sz w:val="32"/>
          <w:szCs w:val="22"/>
          <w:lang w:eastAsia="en-US"/>
        </w:rPr>
        <w:t xml:space="preserve">Kurumsal Yönetim </w:t>
      </w:r>
      <w:r w:rsidR="00ED04ED">
        <w:rPr>
          <w:b/>
          <w:bCs/>
          <w:sz w:val="32"/>
          <w:szCs w:val="22"/>
          <w:lang w:eastAsia="en-US"/>
        </w:rPr>
        <w:t>İlkelerine u</w:t>
      </w:r>
      <w:r>
        <w:rPr>
          <w:b/>
          <w:bCs/>
          <w:sz w:val="32"/>
          <w:szCs w:val="22"/>
          <w:lang w:eastAsia="en-US"/>
        </w:rPr>
        <w:t xml:space="preserve">yum </w:t>
      </w:r>
      <w:r w:rsidR="00ED04ED">
        <w:rPr>
          <w:b/>
          <w:bCs/>
          <w:sz w:val="32"/>
          <w:szCs w:val="22"/>
          <w:lang w:eastAsia="en-US"/>
        </w:rPr>
        <w:t>n</w:t>
      </w:r>
      <w:r w:rsidR="00CA3420" w:rsidRPr="005C2E17">
        <w:rPr>
          <w:b/>
          <w:bCs/>
          <w:sz w:val="32"/>
          <w:szCs w:val="22"/>
          <w:lang w:eastAsia="en-US"/>
        </w:rPr>
        <w:t>ot</w:t>
      </w:r>
      <w:r w:rsidR="004A72AE">
        <w:rPr>
          <w:b/>
          <w:bCs/>
          <w:sz w:val="32"/>
          <w:szCs w:val="22"/>
          <w:lang w:eastAsia="en-US"/>
        </w:rPr>
        <w:t>unu</w:t>
      </w:r>
      <w:r w:rsidR="00CA3420" w:rsidRPr="005C2E17">
        <w:rPr>
          <w:b/>
          <w:bCs/>
          <w:sz w:val="32"/>
          <w:szCs w:val="22"/>
          <w:lang w:eastAsia="en-US"/>
        </w:rPr>
        <w:t xml:space="preserve"> </w:t>
      </w:r>
    </w:p>
    <w:p w:rsidR="00CA3420" w:rsidRPr="005C2E17" w:rsidRDefault="00CA3420" w:rsidP="00ED04ED">
      <w:pPr>
        <w:pBdr>
          <w:bottom w:val="single" w:sz="4" w:space="1" w:color="auto"/>
        </w:pBdr>
        <w:spacing w:before="0"/>
        <w:jc w:val="center"/>
        <w:rPr>
          <w:b/>
          <w:bCs/>
          <w:sz w:val="32"/>
          <w:szCs w:val="22"/>
          <w:lang w:eastAsia="en-US"/>
        </w:rPr>
      </w:pPr>
      <w:r w:rsidRPr="005C2E17">
        <w:rPr>
          <w:b/>
          <w:bCs/>
          <w:sz w:val="32"/>
          <w:szCs w:val="22"/>
          <w:lang w:eastAsia="en-US"/>
        </w:rPr>
        <w:t>9</w:t>
      </w:r>
      <w:r w:rsidR="00527E7F">
        <w:rPr>
          <w:b/>
          <w:bCs/>
          <w:sz w:val="32"/>
          <w:szCs w:val="22"/>
          <w:lang w:eastAsia="en-US"/>
        </w:rPr>
        <w:t>,</w:t>
      </w:r>
      <w:r w:rsidR="00413455">
        <w:rPr>
          <w:b/>
          <w:bCs/>
          <w:sz w:val="32"/>
          <w:szCs w:val="22"/>
          <w:lang w:eastAsia="en-US"/>
        </w:rPr>
        <w:t>36</w:t>
      </w:r>
      <w:r w:rsidR="00ED04ED">
        <w:rPr>
          <w:b/>
          <w:bCs/>
          <w:sz w:val="32"/>
          <w:szCs w:val="22"/>
          <w:lang w:eastAsia="en-US"/>
        </w:rPr>
        <w:t xml:space="preserve"> olarak b</w:t>
      </w:r>
      <w:r w:rsidR="00413455">
        <w:rPr>
          <w:b/>
          <w:bCs/>
          <w:sz w:val="32"/>
          <w:szCs w:val="22"/>
          <w:lang w:eastAsia="en-US"/>
        </w:rPr>
        <w:t>elirledi</w:t>
      </w:r>
      <w:r w:rsidR="00FE5076">
        <w:rPr>
          <w:b/>
          <w:bCs/>
          <w:sz w:val="32"/>
          <w:szCs w:val="22"/>
          <w:lang w:eastAsia="en-US"/>
        </w:rPr>
        <w:t>.</w:t>
      </w:r>
    </w:p>
    <w:p w:rsidR="005C2E17" w:rsidRPr="00ED04ED" w:rsidRDefault="00ED04ED" w:rsidP="00ED04ED">
      <w:pPr>
        <w:pBdr>
          <w:bottom w:val="single" w:sz="4" w:space="1" w:color="auto"/>
        </w:pBdr>
        <w:rPr>
          <w:bCs/>
          <w:lang w:eastAsia="en-US"/>
        </w:rPr>
      </w:pPr>
      <w:r w:rsidRPr="00ED04ED">
        <w:rPr>
          <w:b/>
          <w:bCs/>
          <w:lang w:eastAsia="en-US"/>
        </w:rPr>
        <w:t>Türk sermaye piyasalarının</w:t>
      </w:r>
      <w:r w:rsidR="00CA3420" w:rsidRPr="00ED04ED">
        <w:rPr>
          <w:b/>
          <w:bCs/>
          <w:lang w:eastAsia="en-US"/>
        </w:rPr>
        <w:t xml:space="preserve"> kurumsal yönetim notuna sahip tek </w:t>
      </w:r>
      <w:r w:rsidR="00413455" w:rsidRPr="00ED04ED">
        <w:rPr>
          <w:b/>
          <w:bCs/>
          <w:lang w:eastAsia="en-US"/>
        </w:rPr>
        <w:t>yatırım şirketi o</w:t>
      </w:r>
      <w:r w:rsidR="00CA3420" w:rsidRPr="00ED04ED">
        <w:rPr>
          <w:b/>
          <w:bCs/>
          <w:lang w:eastAsia="en-US"/>
        </w:rPr>
        <w:t xml:space="preserve">lan İş Yatırım, </w:t>
      </w:r>
      <w:r w:rsidR="006A5108" w:rsidRPr="00ED04ED">
        <w:rPr>
          <w:b/>
          <w:bCs/>
          <w:lang w:eastAsia="en-US"/>
        </w:rPr>
        <w:t xml:space="preserve">genel uyum </w:t>
      </w:r>
      <w:r w:rsidR="004A72AE" w:rsidRPr="00ED04ED">
        <w:rPr>
          <w:b/>
          <w:bCs/>
          <w:lang w:eastAsia="en-US"/>
        </w:rPr>
        <w:t>n</w:t>
      </w:r>
      <w:r w:rsidR="00CA3420" w:rsidRPr="00ED04ED">
        <w:rPr>
          <w:b/>
          <w:bCs/>
          <w:lang w:eastAsia="en-US"/>
        </w:rPr>
        <w:t>otunu</w:t>
      </w:r>
      <w:r w:rsidR="006A5108" w:rsidRPr="00ED04ED">
        <w:rPr>
          <w:b/>
          <w:bCs/>
          <w:lang w:eastAsia="en-US"/>
        </w:rPr>
        <w:t xml:space="preserve"> </w:t>
      </w:r>
      <w:r w:rsidR="00CA3420" w:rsidRPr="00ED04ED">
        <w:rPr>
          <w:b/>
          <w:bCs/>
          <w:lang w:eastAsia="en-US"/>
        </w:rPr>
        <w:t>9,</w:t>
      </w:r>
      <w:r w:rsidR="00413455" w:rsidRPr="00ED04ED">
        <w:rPr>
          <w:b/>
          <w:bCs/>
          <w:lang w:eastAsia="en-US"/>
        </w:rPr>
        <w:t>36’ya</w:t>
      </w:r>
      <w:r w:rsidR="00CA3420" w:rsidRPr="00ED04ED">
        <w:rPr>
          <w:b/>
          <w:bCs/>
          <w:lang w:eastAsia="en-US"/>
        </w:rPr>
        <w:t xml:space="preserve"> yükselt</w:t>
      </w:r>
      <w:r w:rsidR="005C2E17" w:rsidRPr="00ED04ED">
        <w:rPr>
          <w:b/>
          <w:bCs/>
          <w:lang w:eastAsia="en-US"/>
        </w:rPr>
        <w:t xml:space="preserve">erek </w:t>
      </w:r>
      <w:r w:rsidR="00CA3420" w:rsidRPr="00ED04ED">
        <w:rPr>
          <w:b/>
          <w:bCs/>
          <w:lang w:eastAsia="en-US"/>
        </w:rPr>
        <w:t xml:space="preserve">uluslararası alanda kabul görmüş en iyi uygulamalarıyla SPK Kurumsal Yönetim İlkeleri’ne çok iyi seviyede uyum sağladığını bir </w:t>
      </w:r>
      <w:r w:rsidRPr="00ED04ED">
        <w:rPr>
          <w:b/>
          <w:bCs/>
          <w:lang w:eastAsia="en-US"/>
        </w:rPr>
        <w:t>defa</w:t>
      </w:r>
      <w:r w:rsidR="00CA3420" w:rsidRPr="00ED04ED">
        <w:rPr>
          <w:b/>
          <w:bCs/>
          <w:lang w:eastAsia="en-US"/>
        </w:rPr>
        <w:t xml:space="preserve"> daha göstermiş oldu.</w:t>
      </w:r>
    </w:p>
    <w:p w:rsidR="00C059DC" w:rsidRPr="00ED04ED" w:rsidRDefault="00CA3420" w:rsidP="00ED04ED">
      <w:pPr>
        <w:pBdr>
          <w:bottom w:val="single" w:sz="4" w:space="1" w:color="auto"/>
        </w:pBdr>
        <w:rPr>
          <w:bCs/>
          <w:lang w:eastAsia="en-US"/>
        </w:rPr>
      </w:pPr>
      <w:r w:rsidRPr="00ED04ED">
        <w:rPr>
          <w:bCs/>
          <w:lang w:eastAsia="en-US"/>
        </w:rPr>
        <w:t>İş Yatırım toplam notunu yükseltirken, derecelendirmeye esas teşkil eden dört ana başlıkta</w:t>
      </w:r>
      <w:r w:rsidR="00ED04ED">
        <w:rPr>
          <w:bCs/>
          <w:lang w:eastAsia="en-US"/>
        </w:rPr>
        <w:t xml:space="preserve"> notu;</w:t>
      </w:r>
      <w:r w:rsidR="004F75FE" w:rsidRPr="00ED04ED">
        <w:rPr>
          <w:bCs/>
          <w:lang w:eastAsia="en-US"/>
        </w:rPr>
        <w:t xml:space="preserve"> </w:t>
      </w:r>
      <w:r w:rsidRPr="00ED04ED">
        <w:rPr>
          <w:b/>
          <w:bCs/>
          <w:lang w:eastAsia="en-US"/>
        </w:rPr>
        <w:t xml:space="preserve">Pay Sahipleri </w:t>
      </w:r>
      <w:r w:rsidR="004A72AE" w:rsidRPr="00ED04ED">
        <w:rPr>
          <w:b/>
          <w:bCs/>
          <w:lang w:eastAsia="en-US"/>
        </w:rPr>
        <w:t>9</w:t>
      </w:r>
      <w:r w:rsidRPr="00ED04ED">
        <w:rPr>
          <w:b/>
          <w:bCs/>
          <w:lang w:eastAsia="en-US"/>
        </w:rPr>
        <w:t>,</w:t>
      </w:r>
      <w:r w:rsidR="00413455" w:rsidRPr="00ED04ED">
        <w:rPr>
          <w:b/>
          <w:bCs/>
          <w:lang w:eastAsia="en-US"/>
        </w:rPr>
        <w:t>20</w:t>
      </w:r>
      <w:r w:rsidR="00413455" w:rsidRPr="00ED04ED">
        <w:rPr>
          <w:bCs/>
          <w:lang w:eastAsia="en-US"/>
        </w:rPr>
        <w:t>;</w:t>
      </w:r>
      <w:r w:rsidRPr="00ED04ED">
        <w:rPr>
          <w:bCs/>
          <w:lang w:eastAsia="en-US"/>
        </w:rPr>
        <w:t xml:space="preserve"> </w:t>
      </w:r>
      <w:r w:rsidR="00413455" w:rsidRPr="00ED04ED">
        <w:rPr>
          <w:b/>
          <w:bCs/>
          <w:lang w:eastAsia="en-US"/>
        </w:rPr>
        <w:t xml:space="preserve">Kamuyu Aydınlatma ve Şeffaflık 9,59; </w:t>
      </w:r>
      <w:r w:rsidRPr="00ED04ED">
        <w:rPr>
          <w:b/>
          <w:bCs/>
          <w:lang w:eastAsia="en-US"/>
        </w:rPr>
        <w:t>Menfaat Sahipleri</w:t>
      </w:r>
      <w:r w:rsidR="00413455" w:rsidRPr="00ED04ED">
        <w:rPr>
          <w:b/>
          <w:bCs/>
          <w:lang w:eastAsia="en-US"/>
        </w:rPr>
        <w:t xml:space="preserve"> 9</w:t>
      </w:r>
      <w:r w:rsidRPr="00ED04ED">
        <w:rPr>
          <w:b/>
          <w:bCs/>
          <w:lang w:eastAsia="en-US"/>
        </w:rPr>
        <w:t>,</w:t>
      </w:r>
      <w:r w:rsidR="00413455" w:rsidRPr="00ED04ED">
        <w:rPr>
          <w:b/>
          <w:bCs/>
          <w:lang w:eastAsia="en-US"/>
        </w:rPr>
        <w:t>49</w:t>
      </w:r>
      <w:r w:rsidR="006A5108" w:rsidRPr="00ED04ED">
        <w:rPr>
          <w:b/>
          <w:bCs/>
          <w:lang w:eastAsia="en-US"/>
        </w:rPr>
        <w:t xml:space="preserve"> </w:t>
      </w:r>
      <w:r w:rsidR="006A5108" w:rsidRPr="00ED04ED">
        <w:rPr>
          <w:bCs/>
          <w:lang w:eastAsia="en-US"/>
        </w:rPr>
        <w:t>ve</w:t>
      </w:r>
      <w:r w:rsidRPr="00ED04ED">
        <w:rPr>
          <w:bCs/>
          <w:lang w:eastAsia="en-US"/>
        </w:rPr>
        <w:t xml:space="preserve"> </w:t>
      </w:r>
      <w:r w:rsidRPr="00ED04ED">
        <w:rPr>
          <w:b/>
          <w:bCs/>
          <w:lang w:eastAsia="en-US"/>
        </w:rPr>
        <w:t>Yönetim Kurulu 9,</w:t>
      </w:r>
      <w:r w:rsidR="00770C83" w:rsidRPr="00ED04ED">
        <w:rPr>
          <w:b/>
          <w:bCs/>
          <w:lang w:eastAsia="en-US"/>
        </w:rPr>
        <w:t>25</w:t>
      </w:r>
      <w:r w:rsidR="00413455" w:rsidRPr="00ED04ED">
        <w:rPr>
          <w:b/>
          <w:bCs/>
          <w:lang w:eastAsia="en-US"/>
        </w:rPr>
        <w:t xml:space="preserve"> </w:t>
      </w:r>
      <w:r w:rsidR="00413455" w:rsidRPr="00ED04ED">
        <w:rPr>
          <w:bCs/>
          <w:lang w:eastAsia="en-US"/>
        </w:rPr>
        <w:t>olarak belirlendi</w:t>
      </w:r>
      <w:r w:rsidR="00EF1D5F" w:rsidRPr="00ED04ED">
        <w:rPr>
          <w:bCs/>
          <w:lang w:eastAsia="en-US"/>
        </w:rPr>
        <w:t>.</w:t>
      </w:r>
      <w:r w:rsidR="00ED04ED">
        <w:rPr>
          <w:bCs/>
          <w:lang w:eastAsia="en-US"/>
        </w:rPr>
        <w:t xml:space="preserve"> Yükselen genel uyum</w:t>
      </w:r>
      <w:r w:rsidR="00C059DC" w:rsidRPr="00ED04ED">
        <w:rPr>
          <w:bCs/>
          <w:lang w:eastAsia="en-US"/>
        </w:rPr>
        <w:t xml:space="preserve"> not</w:t>
      </w:r>
      <w:r w:rsidR="00ED04ED">
        <w:rPr>
          <w:bCs/>
          <w:lang w:eastAsia="en-US"/>
        </w:rPr>
        <w:t>uy</w:t>
      </w:r>
      <w:r w:rsidR="00C059DC" w:rsidRPr="00ED04ED">
        <w:rPr>
          <w:bCs/>
          <w:lang w:eastAsia="en-US"/>
        </w:rPr>
        <w:t>la İş Yatırım, BIST Kurumsal Yönetim Endeksi’nde işlem görmeye devam edecek.</w:t>
      </w:r>
    </w:p>
    <w:p w:rsidR="00CA3420" w:rsidRPr="00ED04ED" w:rsidRDefault="005C2E17" w:rsidP="00ED04ED">
      <w:pPr>
        <w:pBdr>
          <w:bottom w:val="single" w:sz="4" w:space="1" w:color="auto"/>
        </w:pBdr>
        <w:rPr>
          <w:bCs/>
          <w:lang w:eastAsia="en-US"/>
        </w:rPr>
      </w:pPr>
      <w:r w:rsidRPr="00ED04ED">
        <w:rPr>
          <w:bCs/>
          <w:lang w:eastAsia="en-US"/>
        </w:rPr>
        <w:t>İş Yatırım’ın k</w:t>
      </w:r>
      <w:r w:rsidR="00CA3420" w:rsidRPr="00ED04ED">
        <w:rPr>
          <w:bCs/>
          <w:lang w:eastAsia="en-US"/>
        </w:rPr>
        <w:t>urumsal yönetim derecelendirme notu</w:t>
      </w:r>
      <w:r w:rsidRPr="00ED04ED">
        <w:rPr>
          <w:bCs/>
          <w:lang w:eastAsia="en-US"/>
        </w:rPr>
        <w:t>nun</w:t>
      </w:r>
      <w:r w:rsidR="00CA3420" w:rsidRPr="00ED04ED">
        <w:rPr>
          <w:bCs/>
          <w:lang w:eastAsia="en-US"/>
        </w:rPr>
        <w:t xml:space="preserve"> toplam ve ana bölümler itibarıyla dağılımı, önceki dönemlerle karşılaştırmalı olarak aşağıdaki şekildedir:</w:t>
      </w:r>
    </w:p>
    <w:p w:rsidR="00770C83" w:rsidRDefault="00770C83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tbl>
      <w:tblPr>
        <w:tblpPr w:leftFromText="141" w:rightFromText="141" w:vertAnchor="text"/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559"/>
        <w:gridCol w:w="1559"/>
        <w:gridCol w:w="1559"/>
      </w:tblGrid>
      <w:tr w:rsidR="00770C83" w:rsidTr="00770C83">
        <w:trPr>
          <w:trHeight w:val="57"/>
        </w:trPr>
        <w:tc>
          <w:tcPr>
            <w:tcW w:w="2977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B45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Ana Bölümler</w:t>
            </w:r>
          </w:p>
        </w:tc>
        <w:tc>
          <w:tcPr>
            <w:tcW w:w="1559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B45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04.09.2015</w:t>
            </w:r>
          </w:p>
        </w:tc>
        <w:tc>
          <w:tcPr>
            <w:tcW w:w="1559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B45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02.09.2016</w:t>
            </w:r>
          </w:p>
        </w:tc>
        <w:tc>
          <w:tcPr>
            <w:tcW w:w="1559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B45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20.12.2016</w:t>
            </w:r>
          </w:p>
        </w:tc>
      </w:tr>
      <w:tr w:rsidR="00770C83" w:rsidTr="00770C83">
        <w:trPr>
          <w:trHeight w:val="340"/>
        </w:trPr>
        <w:tc>
          <w:tcPr>
            <w:tcW w:w="2977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Pay Sahipleri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</w:rPr>
              <w:t>9,20</w:t>
            </w:r>
          </w:p>
        </w:tc>
      </w:tr>
      <w:tr w:rsidR="00770C83" w:rsidTr="00770C83">
        <w:trPr>
          <w:trHeight w:val="340"/>
        </w:trPr>
        <w:tc>
          <w:tcPr>
            <w:tcW w:w="2977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 xml:space="preserve">Kamuyu Aydınlatma ve Şeffaflık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</w:rPr>
              <w:t>9,59</w:t>
            </w:r>
          </w:p>
        </w:tc>
      </w:tr>
      <w:tr w:rsidR="00770C83" w:rsidTr="00770C83">
        <w:trPr>
          <w:trHeight w:val="340"/>
        </w:trPr>
        <w:tc>
          <w:tcPr>
            <w:tcW w:w="2977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 xml:space="preserve">Menfaat Sahipleri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</w:rPr>
              <w:t>9,49</w:t>
            </w:r>
          </w:p>
        </w:tc>
      </w:tr>
      <w:tr w:rsidR="00770C83" w:rsidTr="00770C83">
        <w:trPr>
          <w:trHeight w:val="340"/>
        </w:trPr>
        <w:tc>
          <w:tcPr>
            <w:tcW w:w="2977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 xml:space="preserve">Yönetim Kurulu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00325A"/>
                <w:sz w:val="20"/>
                <w:szCs w:val="20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color w:val="1F497D"/>
                <w:sz w:val="20"/>
                <w:szCs w:val="20"/>
              </w:rPr>
              <w:t>9,25</w:t>
            </w:r>
          </w:p>
        </w:tc>
      </w:tr>
      <w:tr w:rsidR="00770C83" w:rsidTr="00770C83">
        <w:trPr>
          <w:trHeight w:val="340"/>
        </w:trPr>
        <w:tc>
          <w:tcPr>
            <w:tcW w:w="2977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  <w:t>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83" w:rsidRDefault="00770C83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325A"/>
                <w:sz w:val="20"/>
                <w:szCs w:val="20"/>
              </w:rPr>
              <w:t>9,36</w:t>
            </w:r>
          </w:p>
        </w:tc>
      </w:tr>
    </w:tbl>
    <w:p w:rsidR="005C2E17" w:rsidRDefault="005C2E17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5C2E17" w:rsidRPr="00CA3420" w:rsidRDefault="005C2E17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770C83" w:rsidRDefault="00770C83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770C83" w:rsidRDefault="00770C83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770C83" w:rsidRDefault="00770C83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770C83" w:rsidRDefault="00770C83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</w:p>
    <w:p w:rsidR="00DA643D" w:rsidRDefault="00DA643D" w:rsidP="00CA3420">
      <w:pPr>
        <w:pBdr>
          <w:bottom w:val="single" w:sz="4" w:space="1" w:color="auto"/>
        </w:pBdr>
        <w:spacing w:line="300" w:lineRule="auto"/>
        <w:rPr>
          <w:bCs/>
          <w:sz w:val="22"/>
          <w:szCs w:val="22"/>
          <w:lang w:eastAsia="en-US"/>
        </w:rPr>
      </w:pPr>
      <w:bookmarkStart w:id="0" w:name="_GoBack"/>
      <w:bookmarkEnd w:id="0"/>
    </w:p>
    <w:p w:rsidR="00DA643D" w:rsidRDefault="00DA643D" w:rsidP="001F461E">
      <w:pPr>
        <w:pStyle w:val="BodyText2"/>
        <w:spacing w:before="40"/>
        <w:jc w:val="right"/>
        <w:rPr>
          <w:b/>
          <w:sz w:val="22"/>
          <w:szCs w:val="22"/>
        </w:rPr>
      </w:pPr>
    </w:p>
    <w:p w:rsidR="001F461E" w:rsidRPr="009570D9" w:rsidRDefault="001F461E" w:rsidP="001F461E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Ayrıntılı bilgi ve iletişim için:</w:t>
      </w:r>
    </w:p>
    <w:p w:rsidR="001F461E" w:rsidRPr="009570D9" w:rsidRDefault="00F47C18" w:rsidP="001F461E">
      <w:pPr>
        <w:pStyle w:val="BodyText2"/>
        <w:spacing w:before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Gökçe Kırımlı </w:t>
      </w:r>
      <w:r w:rsidR="001F461E" w:rsidRPr="009570D9">
        <w:rPr>
          <w:b/>
          <w:sz w:val="22"/>
          <w:szCs w:val="22"/>
        </w:rPr>
        <w:t>- Tel: 0212 35</w:t>
      </w:r>
      <w:r>
        <w:rPr>
          <w:b/>
          <w:sz w:val="22"/>
          <w:szCs w:val="22"/>
        </w:rPr>
        <w:t>0</w:t>
      </w:r>
      <w:r w:rsidR="001F461E" w:rsidRPr="009570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28 52</w:t>
      </w:r>
    </w:p>
    <w:p w:rsidR="001F461E" w:rsidRPr="009570D9" w:rsidRDefault="00696A54" w:rsidP="001F461E">
      <w:pPr>
        <w:spacing w:line="300" w:lineRule="auto"/>
        <w:ind w:firstLine="708"/>
        <w:jc w:val="right"/>
        <w:rPr>
          <w:b/>
        </w:rPr>
      </w:pPr>
      <w:hyperlink r:id="rId7" w:history="1">
        <w:r w:rsidR="00F47C18" w:rsidRPr="003A02E1">
          <w:rPr>
            <w:rStyle w:val="Hyperlink"/>
            <w:b/>
            <w:sz w:val="22"/>
            <w:szCs w:val="22"/>
          </w:rPr>
          <w:t>gkirimli@isyatirim.com.tr</w:t>
        </w:r>
      </w:hyperlink>
    </w:p>
    <w:p w:rsidR="0081378E" w:rsidRPr="00B94B83" w:rsidRDefault="001F461E" w:rsidP="00B94B83">
      <w:pPr>
        <w:spacing w:line="300" w:lineRule="auto"/>
        <w:jc w:val="right"/>
        <w:rPr>
          <w:b/>
          <w:sz w:val="22"/>
          <w:szCs w:val="22"/>
        </w:rPr>
      </w:pPr>
      <w:proofErr w:type="spellStart"/>
      <w:r w:rsidRPr="009570D9">
        <w:rPr>
          <w:b/>
          <w:sz w:val="22"/>
          <w:szCs w:val="22"/>
        </w:rPr>
        <w:t>gsm</w:t>
      </w:r>
      <w:proofErr w:type="spellEnd"/>
      <w:r w:rsidRPr="009570D9">
        <w:rPr>
          <w:b/>
          <w:sz w:val="22"/>
          <w:szCs w:val="22"/>
        </w:rPr>
        <w:t>: 0</w:t>
      </w:r>
      <w:r w:rsidR="00F47C18">
        <w:rPr>
          <w:b/>
          <w:sz w:val="22"/>
          <w:szCs w:val="22"/>
        </w:rPr>
        <w:t>554 722 51 90</w:t>
      </w:r>
    </w:p>
    <w:sectPr w:rsidR="0081378E" w:rsidRPr="00B94B83" w:rsidSect="005F55D8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4C90"/>
    <w:multiLevelType w:val="hybridMultilevel"/>
    <w:tmpl w:val="C7324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C0BA1"/>
    <w:multiLevelType w:val="hybridMultilevel"/>
    <w:tmpl w:val="83B8A1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E0EB9"/>
    <w:multiLevelType w:val="hybridMultilevel"/>
    <w:tmpl w:val="FF226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D"/>
    <w:rsid w:val="000209EA"/>
    <w:rsid w:val="00025D4E"/>
    <w:rsid w:val="00062C4A"/>
    <w:rsid w:val="00067D77"/>
    <w:rsid w:val="00072351"/>
    <w:rsid w:val="00084ADE"/>
    <w:rsid w:val="000B3476"/>
    <w:rsid w:val="000C022E"/>
    <w:rsid w:val="000D1A5C"/>
    <w:rsid w:val="000D4CF4"/>
    <w:rsid w:val="000E0D22"/>
    <w:rsid w:val="000E45FF"/>
    <w:rsid w:val="000E61EE"/>
    <w:rsid w:val="0012059B"/>
    <w:rsid w:val="0013534A"/>
    <w:rsid w:val="00151F93"/>
    <w:rsid w:val="00160F50"/>
    <w:rsid w:val="001659E1"/>
    <w:rsid w:val="00176563"/>
    <w:rsid w:val="00184469"/>
    <w:rsid w:val="00195CCF"/>
    <w:rsid w:val="001A07BD"/>
    <w:rsid w:val="001C20AA"/>
    <w:rsid w:val="001C447E"/>
    <w:rsid w:val="001C4CDB"/>
    <w:rsid w:val="001C5138"/>
    <w:rsid w:val="001D1EE1"/>
    <w:rsid w:val="001D2BDD"/>
    <w:rsid w:val="001F1B32"/>
    <w:rsid w:val="001F1EAF"/>
    <w:rsid w:val="001F461E"/>
    <w:rsid w:val="0023126F"/>
    <w:rsid w:val="0024445B"/>
    <w:rsid w:val="00245573"/>
    <w:rsid w:val="00252187"/>
    <w:rsid w:val="00261579"/>
    <w:rsid w:val="002817DD"/>
    <w:rsid w:val="002917EA"/>
    <w:rsid w:val="002966E5"/>
    <w:rsid w:val="00304330"/>
    <w:rsid w:val="003048DB"/>
    <w:rsid w:val="003110E7"/>
    <w:rsid w:val="00315FB5"/>
    <w:rsid w:val="0031777A"/>
    <w:rsid w:val="00333D8B"/>
    <w:rsid w:val="0033597F"/>
    <w:rsid w:val="0034198F"/>
    <w:rsid w:val="00343464"/>
    <w:rsid w:val="00352E6F"/>
    <w:rsid w:val="003562CC"/>
    <w:rsid w:val="00372377"/>
    <w:rsid w:val="003764E9"/>
    <w:rsid w:val="0037753A"/>
    <w:rsid w:val="00385A75"/>
    <w:rsid w:val="00392907"/>
    <w:rsid w:val="003958AB"/>
    <w:rsid w:val="00395CDA"/>
    <w:rsid w:val="003A6348"/>
    <w:rsid w:val="003B394D"/>
    <w:rsid w:val="003B3B75"/>
    <w:rsid w:val="003B7729"/>
    <w:rsid w:val="003E60DF"/>
    <w:rsid w:val="00400762"/>
    <w:rsid w:val="004128EB"/>
    <w:rsid w:val="00413455"/>
    <w:rsid w:val="00447C89"/>
    <w:rsid w:val="00451C6A"/>
    <w:rsid w:val="00466E6B"/>
    <w:rsid w:val="00467101"/>
    <w:rsid w:val="00480A96"/>
    <w:rsid w:val="004837C5"/>
    <w:rsid w:val="004A3AD7"/>
    <w:rsid w:val="004A72AE"/>
    <w:rsid w:val="004C1A7F"/>
    <w:rsid w:val="004F75FE"/>
    <w:rsid w:val="00500412"/>
    <w:rsid w:val="00506063"/>
    <w:rsid w:val="00527E7F"/>
    <w:rsid w:val="00542A5D"/>
    <w:rsid w:val="005571D7"/>
    <w:rsid w:val="00567416"/>
    <w:rsid w:val="005A3448"/>
    <w:rsid w:val="005A365A"/>
    <w:rsid w:val="005B2164"/>
    <w:rsid w:val="005C2E17"/>
    <w:rsid w:val="005E2897"/>
    <w:rsid w:val="005F55D8"/>
    <w:rsid w:val="005F55F6"/>
    <w:rsid w:val="005F701A"/>
    <w:rsid w:val="006527A3"/>
    <w:rsid w:val="0065640B"/>
    <w:rsid w:val="00657653"/>
    <w:rsid w:val="00657EEE"/>
    <w:rsid w:val="00662AD0"/>
    <w:rsid w:val="00664E35"/>
    <w:rsid w:val="00665D21"/>
    <w:rsid w:val="00673D85"/>
    <w:rsid w:val="0068230F"/>
    <w:rsid w:val="00690D7E"/>
    <w:rsid w:val="00691D03"/>
    <w:rsid w:val="006A4139"/>
    <w:rsid w:val="006A5108"/>
    <w:rsid w:val="006B306D"/>
    <w:rsid w:val="006C020B"/>
    <w:rsid w:val="006D0097"/>
    <w:rsid w:val="006E109C"/>
    <w:rsid w:val="006E2EAC"/>
    <w:rsid w:val="006E6CE3"/>
    <w:rsid w:val="00707E27"/>
    <w:rsid w:val="007139A5"/>
    <w:rsid w:val="00720456"/>
    <w:rsid w:val="00723B0C"/>
    <w:rsid w:val="00727BA7"/>
    <w:rsid w:val="00737358"/>
    <w:rsid w:val="00770C83"/>
    <w:rsid w:val="00784A0E"/>
    <w:rsid w:val="007B183D"/>
    <w:rsid w:val="007B7B9F"/>
    <w:rsid w:val="007E0BE0"/>
    <w:rsid w:val="00804212"/>
    <w:rsid w:val="0081378E"/>
    <w:rsid w:val="0082724C"/>
    <w:rsid w:val="008316A5"/>
    <w:rsid w:val="00836BE9"/>
    <w:rsid w:val="00853F8A"/>
    <w:rsid w:val="00871772"/>
    <w:rsid w:val="00874514"/>
    <w:rsid w:val="008A6D38"/>
    <w:rsid w:val="008C6AE7"/>
    <w:rsid w:val="008D3CCC"/>
    <w:rsid w:val="008E37EC"/>
    <w:rsid w:val="008F1359"/>
    <w:rsid w:val="008F155C"/>
    <w:rsid w:val="008F562A"/>
    <w:rsid w:val="008F7E88"/>
    <w:rsid w:val="00903F47"/>
    <w:rsid w:val="00913E50"/>
    <w:rsid w:val="0092561D"/>
    <w:rsid w:val="00925D7D"/>
    <w:rsid w:val="009470D5"/>
    <w:rsid w:val="009570D9"/>
    <w:rsid w:val="00967628"/>
    <w:rsid w:val="00981C82"/>
    <w:rsid w:val="00983AE6"/>
    <w:rsid w:val="009D1EFE"/>
    <w:rsid w:val="009D6F73"/>
    <w:rsid w:val="009E38E4"/>
    <w:rsid w:val="00A1005F"/>
    <w:rsid w:val="00A1574C"/>
    <w:rsid w:val="00A31844"/>
    <w:rsid w:val="00A46FFE"/>
    <w:rsid w:val="00A57058"/>
    <w:rsid w:val="00A773E3"/>
    <w:rsid w:val="00AB4B55"/>
    <w:rsid w:val="00AC560C"/>
    <w:rsid w:val="00AD18DB"/>
    <w:rsid w:val="00AE6E5D"/>
    <w:rsid w:val="00AF00E0"/>
    <w:rsid w:val="00AF06EB"/>
    <w:rsid w:val="00AF6DBD"/>
    <w:rsid w:val="00B02811"/>
    <w:rsid w:val="00B4422C"/>
    <w:rsid w:val="00B853E1"/>
    <w:rsid w:val="00B94B83"/>
    <w:rsid w:val="00BB0266"/>
    <w:rsid w:val="00BB1978"/>
    <w:rsid w:val="00BC05CA"/>
    <w:rsid w:val="00BE7B90"/>
    <w:rsid w:val="00BF3D0B"/>
    <w:rsid w:val="00C039DB"/>
    <w:rsid w:val="00C059DC"/>
    <w:rsid w:val="00C07F50"/>
    <w:rsid w:val="00C325F5"/>
    <w:rsid w:val="00C440B0"/>
    <w:rsid w:val="00C57062"/>
    <w:rsid w:val="00C74227"/>
    <w:rsid w:val="00C94F62"/>
    <w:rsid w:val="00CA1E24"/>
    <w:rsid w:val="00CA3420"/>
    <w:rsid w:val="00CA3AAD"/>
    <w:rsid w:val="00CC5480"/>
    <w:rsid w:val="00CC6798"/>
    <w:rsid w:val="00CD2254"/>
    <w:rsid w:val="00CE1532"/>
    <w:rsid w:val="00CE6CDE"/>
    <w:rsid w:val="00CF507C"/>
    <w:rsid w:val="00D07589"/>
    <w:rsid w:val="00D11831"/>
    <w:rsid w:val="00D15338"/>
    <w:rsid w:val="00D27943"/>
    <w:rsid w:val="00D360AD"/>
    <w:rsid w:val="00D36652"/>
    <w:rsid w:val="00D36922"/>
    <w:rsid w:val="00D546A2"/>
    <w:rsid w:val="00D935EF"/>
    <w:rsid w:val="00DA643D"/>
    <w:rsid w:val="00DC60B0"/>
    <w:rsid w:val="00DD2849"/>
    <w:rsid w:val="00DD3212"/>
    <w:rsid w:val="00DE5A9F"/>
    <w:rsid w:val="00DF3712"/>
    <w:rsid w:val="00DF5320"/>
    <w:rsid w:val="00E17A22"/>
    <w:rsid w:val="00E27C1D"/>
    <w:rsid w:val="00E43C52"/>
    <w:rsid w:val="00E51FA9"/>
    <w:rsid w:val="00E55374"/>
    <w:rsid w:val="00E66A7F"/>
    <w:rsid w:val="00E804F8"/>
    <w:rsid w:val="00E82CDB"/>
    <w:rsid w:val="00E95ACB"/>
    <w:rsid w:val="00EA1F2E"/>
    <w:rsid w:val="00EA4D64"/>
    <w:rsid w:val="00EA64FC"/>
    <w:rsid w:val="00EA6989"/>
    <w:rsid w:val="00EC4B1E"/>
    <w:rsid w:val="00EC571F"/>
    <w:rsid w:val="00ED04ED"/>
    <w:rsid w:val="00ED15C8"/>
    <w:rsid w:val="00ED1CC8"/>
    <w:rsid w:val="00EE0C30"/>
    <w:rsid w:val="00EF1D5F"/>
    <w:rsid w:val="00EF759E"/>
    <w:rsid w:val="00F01F74"/>
    <w:rsid w:val="00F02D45"/>
    <w:rsid w:val="00F15AD8"/>
    <w:rsid w:val="00F20009"/>
    <w:rsid w:val="00F2745B"/>
    <w:rsid w:val="00F379A2"/>
    <w:rsid w:val="00F41E18"/>
    <w:rsid w:val="00F428A1"/>
    <w:rsid w:val="00F47724"/>
    <w:rsid w:val="00F47C18"/>
    <w:rsid w:val="00F6185B"/>
    <w:rsid w:val="00F804E0"/>
    <w:rsid w:val="00F90694"/>
    <w:rsid w:val="00FD036C"/>
    <w:rsid w:val="00FE23C5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6E529-863E-4A49-994D-D2BB8F7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E6CDE"/>
    <w:rPr>
      <w:szCs w:val="20"/>
    </w:rPr>
  </w:style>
  <w:style w:type="character" w:customStyle="1" w:styleId="BodyText2Char">
    <w:name w:val="Body Text 2 Char"/>
    <w:link w:val="BodyText2"/>
    <w:rsid w:val="00CE6CDE"/>
    <w:rPr>
      <w:sz w:val="24"/>
      <w:lang w:val="tr-TR" w:eastAsia="tr-TR" w:bidi="ar-SA"/>
    </w:rPr>
  </w:style>
  <w:style w:type="character" w:styleId="Hyperlink">
    <w:name w:val="Hyperlink"/>
    <w:rsid w:val="00CE6C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43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4330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3764E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64E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3764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764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A5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1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irimli@isyatirim.com.t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2016-12-21T21:00:00+00:00</EklenmeTarihi>
  </documentManagement>
</p:properties>
</file>

<file path=customXml/itemProps1.xml><?xml version="1.0" encoding="utf-8"?>
<ds:datastoreItem xmlns:ds="http://schemas.openxmlformats.org/officeDocument/2006/customXml" ds:itemID="{67E6DB19-E924-41B9-B58C-3CE1BBEA8CAA}"/>
</file>

<file path=customXml/itemProps2.xml><?xml version="1.0" encoding="utf-8"?>
<ds:datastoreItem xmlns:ds="http://schemas.openxmlformats.org/officeDocument/2006/customXml" ds:itemID="{2160D16D-8844-474A-B36F-CDF834D233B8}"/>
</file>

<file path=customXml/itemProps3.xml><?xml version="1.0" encoding="utf-8"?>
<ds:datastoreItem xmlns:ds="http://schemas.openxmlformats.org/officeDocument/2006/customXml" ds:itemID="{644A2F7D-33EA-4E71-90BE-F72701E85AF4}"/>
</file>

<file path=customXml/itemProps4.xml><?xml version="1.0" encoding="utf-8"?>
<ds:datastoreItem xmlns:ds="http://schemas.openxmlformats.org/officeDocument/2006/customXml" ds:itemID="{16B9EF5C-5639-4C4D-B344-0C3C78FD7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 Yatirim</Company>
  <LinksUpToDate>false</LinksUpToDate>
  <CharactersWithSpaces>1280</CharactersWithSpaces>
  <SharedDoc>false</SharedDoc>
  <HLinks>
    <vt:vector size="12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mailto:psile@medyaevi.com.tr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http://www.isvarant.com/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SAHA Rating - İş Yatırım Not Artışı</dc:title>
  <dc:creator>psile</dc:creator>
  <cp:lastModifiedBy>Bige Ozcubukcu</cp:lastModifiedBy>
  <cp:revision>4</cp:revision>
  <dcterms:created xsi:type="dcterms:W3CDTF">2016-12-22T08:24:00Z</dcterms:created>
  <dcterms:modified xsi:type="dcterms:W3CDTF">2016-12-22T11:24:00Z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0x010100F451FD3CCC793E49835416A5852F873C</vt:lpwstr>
  </property>
</Properties>
</file>