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C5" w:rsidRDefault="009862C5" w:rsidP="009862C5">
      <w:pPr>
        <w:jc w:val="right"/>
        <w:rPr>
          <w:rStyle w:val="IntenseReference"/>
          <w:color w:val="0033A0"/>
        </w:rPr>
      </w:pPr>
      <w:bookmarkStart w:id="0" w:name="_GoBack"/>
      <w:bookmarkEnd w:id="0"/>
    </w:p>
    <w:p w:rsidR="006F6EF3" w:rsidRPr="006F6EF3" w:rsidRDefault="006F6EF3" w:rsidP="006F6EF3">
      <w:pPr>
        <w:jc w:val="center"/>
        <w:rPr>
          <w:rStyle w:val="IntenseReference"/>
          <w:color w:val="0033A0"/>
        </w:rPr>
      </w:pPr>
      <w:r w:rsidRPr="006F6EF3">
        <w:rPr>
          <w:rStyle w:val="IntenseReference"/>
          <w:color w:val="0033A0"/>
        </w:rPr>
        <w:t>20 Yılda İş Yatırım</w:t>
      </w:r>
    </w:p>
    <w:p w:rsidR="00C52EC2" w:rsidRDefault="00C52EC2" w:rsidP="001F3407">
      <w:pPr>
        <w:spacing w:before="120"/>
        <w:jc w:val="both"/>
        <w:rPr>
          <w:rFonts w:eastAsia="Times New Roman"/>
          <w:sz w:val="22"/>
          <w:szCs w:val="22"/>
        </w:rPr>
      </w:pPr>
      <w:r w:rsidRPr="00C52EC2">
        <w:rPr>
          <w:rFonts w:eastAsia="Times New Roman"/>
          <w:sz w:val="22"/>
          <w:szCs w:val="22"/>
        </w:rPr>
        <w:t xml:space="preserve">İş Yatırım 18 Aralık 1996 tarihinde 42 çalışan ve 500 bin TL sermaye ile Türkiye İş bankası tarafından yerli-yabancı bireysel ve kurumsal yatırımcılara, geleneksel alım-satım aracılığının yanı sıra; Kurumsal Finansman, Yatırım Danışmanlığı ve Servet Yönetimi ile Bireysel Portföy Yönetimi hizmetleri </w:t>
      </w:r>
      <w:r>
        <w:rPr>
          <w:rFonts w:eastAsia="Times New Roman"/>
          <w:sz w:val="22"/>
          <w:szCs w:val="22"/>
        </w:rPr>
        <w:t xml:space="preserve">sunmak amacıyla </w:t>
      </w:r>
      <w:r w:rsidRPr="00C52EC2">
        <w:rPr>
          <w:rFonts w:eastAsia="Times New Roman"/>
          <w:sz w:val="22"/>
          <w:szCs w:val="22"/>
        </w:rPr>
        <w:t xml:space="preserve">kurulmuştur. </w:t>
      </w:r>
    </w:p>
    <w:p w:rsidR="00DA5293" w:rsidRDefault="00C52EC2" w:rsidP="00DA5293">
      <w:pPr>
        <w:spacing w:before="120"/>
        <w:jc w:val="both"/>
        <w:rPr>
          <w:rFonts w:eastAsia="Times New Roman"/>
          <w:sz w:val="22"/>
          <w:szCs w:val="22"/>
        </w:rPr>
      </w:pPr>
      <w:r w:rsidRPr="00C52EC2">
        <w:rPr>
          <w:rFonts w:eastAsia="Times New Roman"/>
          <w:sz w:val="22"/>
          <w:szCs w:val="22"/>
        </w:rPr>
        <w:t xml:space="preserve">Kuruluşunun 20. yılında </w:t>
      </w:r>
      <w:r>
        <w:rPr>
          <w:rFonts w:eastAsia="Times New Roman"/>
          <w:sz w:val="22"/>
          <w:szCs w:val="22"/>
        </w:rPr>
        <w:t xml:space="preserve">ise </w:t>
      </w:r>
      <w:r w:rsidRPr="00C52EC2">
        <w:rPr>
          <w:rFonts w:eastAsia="Times New Roman"/>
          <w:sz w:val="22"/>
          <w:szCs w:val="22"/>
        </w:rPr>
        <w:t xml:space="preserve">400 çalışanı, 6 milyar TL'den fazla toplam aktifleri, 560 milyon TL </w:t>
      </w:r>
      <w:proofErr w:type="spellStart"/>
      <w:r w:rsidRPr="00C52EC2">
        <w:rPr>
          <w:rFonts w:eastAsia="Times New Roman"/>
          <w:sz w:val="22"/>
          <w:szCs w:val="22"/>
        </w:rPr>
        <w:t>özkaynak</w:t>
      </w:r>
      <w:proofErr w:type="spellEnd"/>
      <w:r w:rsidRPr="00C52EC2">
        <w:rPr>
          <w:rFonts w:eastAsia="Times New Roman"/>
          <w:sz w:val="22"/>
          <w:szCs w:val="22"/>
        </w:rPr>
        <w:t xml:space="preserve"> büyüklüğü, 12 şubesi, Türkiye’nin hemen her noktasına </w:t>
      </w:r>
      <w:r w:rsidR="00DA5293">
        <w:rPr>
          <w:rFonts w:eastAsia="Times New Roman"/>
          <w:sz w:val="22"/>
          <w:szCs w:val="22"/>
        </w:rPr>
        <w:t xml:space="preserve">iş ortağı olarak </w:t>
      </w:r>
      <w:r w:rsidRPr="00C52EC2">
        <w:rPr>
          <w:rFonts w:eastAsia="Times New Roman"/>
          <w:sz w:val="22"/>
          <w:szCs w:val="22"/>
        </w:rPr>
        <w:t xml:space="preserve">hizmet veren 1300'den fazla </w:t>
      </w:r>
      <w:r w:rsidR="00DA5293">
        <w:rPr>
          <w:rFonts w:eastAsia="Times New Roman"/>
          <w:sz w:val="22"/>
          <w:szCs w:val="22"/>
        </w:rPr>
        <w:t>İş Bankası şubesi</w:t>
      </w:r>
      <w:r w:rsidRPr="00C52EC2">
        <w:rPr>
          <w:rFonts w:eastAsia="Times New Roman"/>
          <w:sz w:val="22"/>
          <w:szCs w:val="22"/>
        </w:rPr>
        <w:t xml:space="preserve">, girişim sermayesi, </w:t>
      </w:r>
      <w:proofErr w:type="gramStart"/>
      <w:r w:rsidRPr="00C52EC2">
        <w:rPr>
          <w:rFonts w:eastAsia="Times New Roman"/>
          <w:sz w:val="22"/>
          <w:szCs w:val="22"/>
        </w:rPr>
        <w:t>portföy</w:t>
      </w:r>
      <w:proofErr w:type="gramEnd"/>
      <w:r w:rsidRPr="00C52EC2">
        <w:rPr>
          <w:rFonts w:eastAsia="Times New Roman"/>
          <w:sz w:val="22"/>
          <w:szCs w:val="22"/>
        </w:rPr>
        <w:t xml:space="preserve"> yönetimi ve varlık yönetimi gibi alanlardaki stratejik konsolidasyon yapısı, 400 binden fazla müşterisi, halka açık kimliği ile sermaye piyasalarında lider konumdadır. </w:t>
      </w:r>
    </w:p>
    <w:p w:rsidR="00DA5293" w:rsidRPr="00DA5293" w:rsidRDefault="00DA5293" w:rsidP="00DA5293">
      <w:pPr>
        <w:jc w:val="center"/>
        <w:rPr>
          <w:rStyle w:val="IntenseReference"/>
          <w:color w:val="0033A0"/>
        </w:rPr>
      </w:pPr>
      <w:r w:rsidRPr="00DA5293">
        <w:rPr>
          <w:rStyle w:val="IntenseReference"/>
          <w:color w:val="0033A0"/>
        </w:rPr>
        <w:t>20. Y</w:t>
      </w:r>
      <w:r w:rsidR="00147F5B">
        <w:rPr>
          <w:rStyle w:val="IntenseReference"/>
          <w:color w:val="0033A0"/>
          <w:sz w:val="22"/>
          <w:szCs w:val="22"/>
        </w:rPr>
        <w:t>ılın</w:t>
      </w:r>
      <w:r w:rsidRPr="00DA5293">
        <w:rPr>
          <w:rStyle w:val="IntenseReference"/>
          <w:color w:val="0033A0"/>
        </w:rPr>
        <w:t xml:space="preserve"> S</w:t>
      </w:r>
      <w:r w:rsidR="00147F5B">
        <w:rPr>
          <w:rStyle w:val="IntenseReference"/>
          <w:color w:val="0033A0"/>
        </w:rPr>
        <w:t>onunda</w:t>
      </w:r>
      <w:r w:rsidRPr="00DA5293">
        <w:rPr>
          <w:rStyle w:val="IntenseReference"/>
          <w:color w:val="0033A0"/>
        </w:rPr>
        <w:t xml:space="preserve"> L</w:t>
      </w:r>
      <w:r w:rsidR="00147F5B">
        <w:rPr>
          <w:rStyle w:val="IntenseReference"/>
          <w:color w:val="0033A0"/>
        </w:rPr>
        <w:t>ider</w:t>
      </w:r>
      <w:r w:rsidRPr="00DA5293">
        <w:rPr>
          <w:rStyle w:val="IntenseReference"/>
          <w:color w:val="0033A0"/>
        </w:rPr>
        <w:t xml:space="preserve"> P</w:t>
      </w:r>
      <w:r w:rsidR="00147F5B">
        <w:rPr>
          <w:rStyle w:val="IntenseReference"/>
          <w:color w:val="0033A0"/>
        </w:rPr>
        <w:t>erformans</w:t>
      </w:r>
    </w:p>
    <w:p w:rsidR="00DA5293" w:rsidRPr="00DA5293" w:rsidRDefault="00DA5293" w:rsidP="00DA5293">
      <w:pPr>
        <w:spacing w:before="120"/>
        <w:jc w:val="both"/>
        <w:rPr>
          <w:rFonts w:eastAsia="Times New Roman"/>
          <w:sz w:val="22"/>
          <w:szCs w:val="22"/>
        </w:rPr>
      </w:pPr>
      <w:r w:rsidRPr="00DA5293">
        <w:rPr>
          <w:rFonts w:eastAsia="Times New Roman"/>
          <w:sz w:val="22"/>
          <w:szCs w:val="22"/>
        </w:rPr>
        <w:t>İş Yatırım, geride bıraktığı 20 yılda</w:t>
      </w:r>
      <w:r w:rsidR="00EB76C9">
        <w:rPr>
          <w:rFonts w:eastAsia="Times New Roman"/>
          <w:sz w:val="22"/>
          <w:szCs w:val="22"/>
        </w:rPr>
        <w:t>,</w:t>
      </w:r>
      <w:r w:rsidRPr="00DA5293">
        <w:rPr>
          <w:rFonts w:eastAsia="Times New Roman"/>
          <w:sz w:val="22"/>
          <w:szCs w:val="22"/>
        </w:rPr>
        <w:t xml:space="preserve"> küresel finans piyasalarına </w:t>
      </w:r>
      <w:proofErr w:type="gramStart"/>
      <w:r w:rsidRPr="00DA5293">
        <w:rPr>
          <w:rFonts w:eastAsia="Times New Roman"/>
          <w:sz w:val="22"/>
          <w:szCs w:val="22"/>
        </w:rPr>
        <w:t>entegre</w:t>
      </w:r>
      <w:proofErr w:type="gramEnd"/>
      <w:r w:rsidRPr="00DA5293">
        <w:rPr>
          <w:rFonts w:eastAsia="Times New Roman"/>
          <w:sz w:val="22"/>
          <w:szCs w:val="22"/>
        </w:rPr>
        <w:t xml:space="preserve"> bir şekilde belirlediği</w:t>
      </w:r>
      <w:r>
        <w:rPr>
          <w:rFonts w:eastAsia="Times New Roman"/>
          <w:sz w:val="22"/>
          <w:szCs w:val="22"/>
        </w:rPr>
        <w:t xml:space="preserve"> </w:t>
      </w:r>
      <w:r w:rsidRPr="00DA5293">
        <w:rPr>
          <w:rFonts w:eastAsia="Times New Roman"/>
          <w:sz w:val="22"/>
          <w:szCs w:val="22"/>
        </w:rPr>
        <w:t>stratejilerle operasyonel ve finansal performansını sürekli geliştirirken, gururla temsil</w:t>
      </w:r>
      <w:r>
        <w:rPr>
          <w:rFonts w:eastAsia="Times New Roman"/>
          <w:sz w:val="22"/>
          <w:szCs w:val="22"/>
        </w:rPr>
        <w:t xml:space="preserve"> </w:t>
      </w:r>
      <w:r w:rsidRPr="00DA5293">
        <w:rPr>
          <w:rFonts w:eastAsia="Times New Roman"/>
          <w:sz w:val="22"/>
          <w:szCs w:val="22"/>
        </w:rPr>
        <w:t>ettiği “İş” ambleminin yüklediği sorumlulukla da sermaye piyasalarımızın gelişimine yön</w:t>
      </w:r>
      <w:r>
        <w:rPr>
          <w:rFonts w:eastAsia="Times New Roman"/>
          <w:sz w:val="22"/>
          <w:szCs w:val="22"/>
        </w:rPr>
        <w:t xml:space="preserve"> </w:t>
      </w:r>
      <w:r w:rsidRPr="00DA5293">
        <w:rPr>
          <w:rFonts w:eastAsia="Times New Roman"/>
          <w:sz w:val="22"/>
          <w:szCs w:val="22"/>
        </w:rPr>
        <w:t>veren en etk</w:t>
      </w:r>
      <w:r>
        <w:rPr>
          <w:rFonts w:eastAsia="Times New Roman"/>
          <w:sz w:val="22"/>
          <w:szCs w:val="22"/>
        </w:rPr>
        <w:t>in yatırım şirketi konumuna gelmiştir</w:t>
      </w:r>
      <w:r w:rsidRPr="00DA5293">
        <w:rPr>
          <w:rFonts w:eastAsia="Times New Roman"/>
          <w:sz w:val="22"/>
          <w:szCs w:val="22"/>
        </w:rPr>
        <w:t>. Zaman içinde faaliyetlerini girişim sermayesi,</w:t>
      </w:r>
      <w:r>
        <w:rPr>
          <w:rFonts w:eastAsia="Times New Roman"/>
          <w:sz w:val="22"/>
          <w:szCs w:val="22"/>
        </w:rPr>
        <w:t xml:space="preserve"> </w:t>
      </w:r>
      <w:proofErr w:type="gramStart"/>
      <w:r w:rsidRPr="00DA5293">
        <w:rPr>
          <w:rFonts w:eastAsia="Times New Roman"/>
          <w:sz w:val="22"/>
          <w:szCs w:val="22"/>
        </w:rPr>
        <w:t>portföy</w:t>
      </w:r>
      <w:proofErr w:type="gramEnd"/>
      <w:r w:rsidRPr="00DA5293">
        <w:rPr>
          <w:rFonts w:eastAsia="Times New Roman"/>
          <w:sz w:val="22"/>
          <w:szCs w:val="22"/>
        </w:rPr>
        <w:t xml:space="preserve"> yönetimi, yatırım ortaklığı ve varlık yönetimi gibi alanlara da genişleten</w:t>
      </w:r>
      <w:r>
        <w:rPr>
          <w:rFonts w:eastAsia="Times New Roman"/>
          <w:sz w:val="22"/>
          <w:szCs w:val="22"/>
        </w:rPr>
        <w:t xml:space="preserve"> </w:t>
      </w:r>
      <w:r w:rsidRPr="00DA5293">
        <w:rPr>
          <w:rFonts w:eastAsia="Times New Roman"/>
          <w:sz w:val="22"/>
          <w:szCs w:val="22"/>
        </w:rPr>
        <w:t>şirket bu sayede yatırım bankacılığının her alanında lider olan konsolide bir organizasyon</w:t>
      </w:r>
      <w:r>
        <w:rPr>
          <w:rFonts w:eastAsia="Times New Roman"/>
          <w:sz w:val="22"/>
          <w:szCs w:val="22"/>
        </w:rPr>
        <w:t xml:space="preserve"> halini almıştır</w:t>
      </w:r>
      <w:r w:rsidRPr="00DA5293">
        <w:rPr>
          <w:rFonts w:eastAsia="Times New Roman"/>
          <w:sz w:val="22"/>
          <w:szCs w:val="22"/>
        </w:rPr>
        <w:t>. Kurumsal yönetim anlayışını benimsemiş ve etik değerlerine bağlı bir borsa</w:t>
      </w:r>
      <w:r>
        <w:rPr>
          <w:rFonts w:eastAsia="Times New Roman"/>
          <w:sz w:val="22"/>
          <w:szCs w:val="22"/>
        </w:rPr>
        <w:t xml:space="preserve"> </w:t>
      </w:r>
      <w:r w:rsidRPr="00DA5293">
        <w:rPr>
          <w:rFonts w:eastAsia="Times New Roman"/>
          <w:sz w:val="22"/>
          <w:szCs w:val="22"/>
        </w:rPr>
        <w:t>şirketi olarak da bütün paydaşları için değer yaratabilmeyi başar</w:t>
      </w:r>
      <w:r>
        <w:rPr>
          <w:rFonts w:eastAsia="Times New Roman"/>
          <w:sz w:val="22"/>
          <w:szCs w:val="22"/>
        </w:rPr>
        <w:t>mıştır</w:t>
      </w:r>
      <w:r w:rsidRPr="00DA5293">
        <w:rPr>
          <w:rFonts w:eastAsia="Times New Roman"/>
          <w:sz w:val="22"/>
          <w:szCs w:val="22"/>
        </w:rPr>
        <w:t>. Şirket, sınır ötesi ve</w:t>
      </w:r>
      <w:r>
        <w:rPr>
          <w:rFonts w:eastAsia="Times New Roman"/>
          <w:sz w:val="22"/>
          <w:szCs w:val="22"/>
        </w:rPr>
        <w:t xml:space="preserve"> </w:t>
      </w:r>
      <w:r w:rsidRPr="00DA5293">
        <w:rPr>
          <w:rFonts w:eastAsia="Times New Roman"/>
          <w:sz w:val="22"/>
          <w:szCs w:val="22"/>
        </w:rPr>
        <w:t>elektronik işlem kabiliyetiyle Türkiye’nin ve bölgenin en güvenilir yatırım kuruluşu olma</w:t>
      </w:r>
      <w:r>
        <w:rPr>
          <w:rFonts w:eastAsia="Times New Roman"/>
          <w:sz w:val="22"/>
          <w:szCs w:val="22"/>
        </w:rPr>
        <w:t xml:space="preserve"> </w:t>
      </w:r>
      <w:proofErr w:type="gramStart"/>
      <w:r w:rsidRPr="00DA5293">
        <w:rPr>
          <w:rFonts w:eastAsia="Times New Roman"/>
          <w:sz w:val="22"/>
          <w:szCs w:val="22"/>
        </w:rPr>
        <w:t>vizyonu</w:t>
      </w:r>
      <w:proofErr w:type="gramEnd"/>
      <w:r w:rsidRPr="00DA5293">
        <w:rPr>
          <w:rFonts w:eastAsia="Times New Roman"/>
          <w:sz w:val="22"/>
          <w:szCs w:val="22"/>
        </w:rPr>
        <w:t xml:space="preserve"> doğrultusunda önümüzdeki yıllara da emin adımlarla ilerleyecekti</w:t>
      </w:r>
      <w:r>
        <w:rPr>
          <w:rFonts w:eastAsia="Times New Roman"/>
          <w:sz w:val="22"/>
          <w:szCs w:val="22"/>
        </w:rPr>
        <w:t>r</w:t>
      </w:r>
      <w:r w:rsidRPr="00DA5293">
        <w:rPr>
          <w:rFonts w:eastAsia="Times New Roman"/>
          <w:sz w:val="22"/>
          <w:szCs w:val="22"/>
        </w:rPr>
        <w:t>.</w:t>
      </w:r>
    </w:p>
    <w:p w:rsidR="00DA5293" w:rsidRPr="00DA5293" w:rsidRDefault="00DA5293" w:rsidP="00DA5293">
      <w:pPr>
        <w:spacing w:before="120"/>
        <w:jc w:val="both"/>
        <w:rPr>
          <w:rFonts w:eastAsia="Times New Roman"/>
          <w:sz w:val="22"/>
          <w:szCs w:val="22"/>
        </w:rPr>
      </w:pPr>
      <w:r w:rsidRPr="00DA5293">
        <w:rPr>
          <w:rFonts w:eastAsia="Times New Roman"/>
          <w:sz w:val="22"/>
          <w:szCs w:val="22"/>
        </w:rPr>
        <w:t>İş Yatırım, müşteri odaklılık, piyasa merkezlilik, dinamizm, yenilikçilik ve tarafsızlık gibi</w:t>
      </w:r>
      <w:r>
        <w:rPr>
          <w:rFonts w:eastAsia="Times New Roman"/>
          <w:sz w:val="22"/>
          <w:szCs w:val="22"/>
        </w:rPr>
        <w:t xml:space="preserve"> </w:t>
      </w:r>
      <w:r w:rsidRPr="00DA5293">
        <w:rPr>
          <w:rFonts w:eastAsia="Times New Roman"/>
          <w:sz w:val="22"/>
          <w:szCs w:val="22"/>
        </w:rPr>
        <w:t>kurumsal değerlerinin yanı sıra, “çalışanına değer vermek” ilkesine özel önem atfederek</w:t>
      </w:r>
      <w:r>
        <w:rPr>
          <w:rFonts w:eastAsia="Times New Roman"/>
          <w:sz w:val="22"/>
          <w:szCs w:val="22"/>
        </w:rPr>
        <w:t xml:space="preserve"> </w:t>
      </w:r>
      <w:r w:rsidRPr="00DA5293">
        <w:rPr>
          <w:rFonts w:eastAsia="Times New Roman"/>
          <w:sz w:val="22"/>
          <w:szCs w:val="22"/>
        </w:rPr>
        <w:t>aracılık faaliyetinin vazgeçilemez bileşenleri olan itibar, güven ve başarının en önemli</w:t>
      </w:r>
      <w:r>
        <w:rPr>
          <w:rFonts w:eastAsia="Times New Roman"/>
          <w:sz w:val="22"/>
          <w:szCs w:val="22"/>
        </w:rPr>
        <w:t xml:space="preserve"> </w:t>
      </w:r>
      <w:r w:rsidRPr="00DA5293">
        <w:rPr>
          <w:rFonts w:eastAsia="Times New Roman"/>
          <w:sz w:val="22"/>
          <w:szCs w:val="22"/>
        </w:rPr>
        <w:t>kaynağı</w:t>
      </w:r>
      <w:r>
        <w:rPr>
          <w:rFonts w:eastAsia="Times New Roman"/>
          <w:sz w:val="22"/>
          <w:szCs w:val="22"/>
        </w:rPr>
        <w:t>nın insan olduğunun bilincindedir</w:t>
      </w:r>
      <w:r w:rsidRPr="00DA5293">
        <w:rPr>
          <w:rFonts w:eastAsia="Times New Roman"/>
          <w:sz w:val="22"/>
          <w:szCs w:val="22"/>
        </w:rPr>
        <w:t xml:space="preserve">. </w:t>
      </w:r>
    </w:p>
    <w:p w:rsidR="00DA5293" w:rsidRPr="00DA5293" w:rsidRDefault="00DA5293" w:rsidP="00DA5293">
      <w:pPr>
        <w:spacing w:before="120"/>
        <w:jc w:val="both"/>
        <w:rPr>
          <w:rFonts w:eastAsia="Times New Roman"/>
          <w:sz w:val="22"/>
          <w:szCs w:val="22"/>
        </w:rPr>
      </w:pPr>
      <w:r w:rsidRPr="00DA5293">
        <w:rPr>
          <w:rFonts w:eastAsia="Times New Roman"/>
          <w:sz w:val="22"/>
          <w:szCs w:val="22"/>
        </w:rPr>
        <w:t>İş Yatırım, pay sahipleri, müşterileri, çalışanları ve diğer ilgili bütün taraflarla arasındaki</w:t>
      </w:r>
      <w:r>
        <w:rPr>
          <w:rFonts w:eastAsia="Times New Roman"/>
          <w:sz w:val="22"/>
          <w:szCs w:val="22"/>
        </w:rPr>
        <w:t xml:space="preserve"> </w:t>
      </w:r>
      <w:r w:rsidRPr="00DA5293">
        <w:rPr>
          <w:rFonts w:eastAsia="Times New Roman"/>
          <w:sz w:val="22"/>
          <w:szCs w:val="22"/>
        </w:rPr>
        <w:t>hak ve sorumluluklarını hesap verebilirlik, eşitlik, şeffaflık ve sorumluluk anlayışıyla yürüterek</w:t>
      </w:r>
      <w:r>
        <w:rPr>
          <w:rFonts w:eastAsia="Times New Roman"/>
          <w:sz w:val="22"/>
          <w:szCs w:val="22"/>
        </w:rPr>
        <w:t xml:space="preserve"> </w:t>
      </w:r>
      <w:r w:rsidRPr="00DA5293">
        <w:rPr>
          <w:rFonts w:eastAsia="Times New Roman"/>
          <w:sz w:val="22"/>
          <w:szCs w:val="22"/>
        </w:rPr>
        <w:t xml:space="preserve">kurumsal ve finansal </w:t>
      </w:r>
      <w:proofErr w:type="gramStart"/>
      <w:r w:rsidRPr="00DA5293">
        <w:rPr>
          <w:rFonts w:eastAsia="Times New Roman"/>
          <w:sz w:val="22"/>
          <w:szCs w:val="22"/>
        </w:rPr>
        <w:t>konsantr</w:t>
      </w:r>
      <w:r>
        <w:rPr>
          <w:rFonts w:eastAsia="Times New Roman"/>
          <w:sz w:val="22"/>
          <w:szCs w:val="22"/>
        </w:rPr>
        <w:t>asyonunu</w:t>
      </w:r>
      <w:proofErr w:type="gramEnd"/>
      <w:r>
        <w:rPr>
          <w:rFonts w:eastAsia="Times New Roman"/>
          <w:sz w:val="22"/>
          <w:szCs w:val="22"/>
        </w:rPr>
        <w:t xml:space="preserve"> en yüksek seviyede tutmuş</w:t>
      </w:r>
      <w:r w:rsidRPr="00DA5293">
        <w:rPr>
          <w:rFonts w:eastAsia="Times New Roman"/>
          <w:sz w:val="22"/>
          <w:szCs w:val="22"/>
        </w:rPr>
        <w:t>, bu marifetle de</w:t>
      </w:r>
      <w:r>
        <w:rPr>
          <w:rFonts w:eastAsia="Times New Roman"/>
          <w:sz w:val="22"/>
          <w:szCs w:val="22"/>
        </w:rPr>
        <w:t xml:space="preserve"> başarısını sürdürülebilir kılmıştır</w:t>
      </w:r>
      <w:r w:rsidRPr="00DA5293">
        <w:rPr>
          <w:rFonts w:eastAsia="Times New Roman"/>
          <w:sz w:val="22"/>
          <w:szCs w:val="22"/>
        </w:rPr>
        <w:t>.</w:t>
      </w:r>
    </w:p>
    <w:p w:rsidR="00DA5293" w:rsidRPr="00DA5293" w:rsidRDefault="00DA5293" w:rsidP="00DA5293">
      <w:pPr>
        <w:spacing w:before="120"/>
        <w:jc w:val="both"/>
        <w:rPr>
          <w:rFonts w:eastAsia="Times New Roman"/>
          <w:sz w:val="22"/>
          <w:szCs w:val="22"/>
        </w:rPr>
      </w:pPr>
      <w:r w:rsidRPr="00DA5293">
        <w:rPr>
          <w:rFonts w:eastAsia="Times New Roman"/>
          <w:sz w:val="22"/>
          <w:szCs w:val="22"/>
        </w:rPr>
        <w:t>İş Yatırım bugüne kadar olduğu gibi bundan sonraki yıllarda da nitelikli bilgiye dayalı stratejiler</w:t>
      </w:r>
      <w:r>
        <w:rPr>
          <w:rFonts w:eastAsia="Times New Roman"/>
          <w:sz w:val="22"/>
          <w:szCs w:val="22"/>
        </w:rPr>
        <w:t xml:space="preserve"> </w:t>
      </w:r>
      <w:r w:rsidRPr="00DA5293">
        <w:rPr>
          <w:rFonts w:eastAsia="Times New Roman"/>
          <w:sz w:val="22"/>
          <w:szCs w:val="22"/>
        </w:rPr>
        <w:t>geliştirerek, yeni ürün ve hizmetler sunma çabası içinde olarak, teknolojiyi etkin</w:t>
      </w:r>
      <w:r>
        <w:rPr>
          <w:rFonts w:eastAsia="Times New Roman"/>
          <w:sz w:val="22"/>
          <w:szCs w:val="22"/>
        </w:rPr>
        <w:t xml:space="preserve"> </w:t>
      </w:r>
      <w:r w:rsidRPr="00DA5293">
        <w:rPr>
          <w:rFonts w:eastAsia="Times New Roman"/>
          <w:sz w:val="22"/>
          <w:szCs w:val="22"/>
        </w:rPr>
        <w:t>kullanarak kurumsal başarısının devamı, paydaşlarının kazanması ve sermaye piyasalarının</w:t>
      </w:r>
      <w:r>
        <w:rPr>
          <w:rFonts w:eastAsia="Times New Roman"/>
          <w:sz w:val="22"/>
          <w:szCs w:val="22"/>
        </w:rPr>
        <w:t xml:space="preserve"> </w:t>
      </w:r>
      <w:r w:rsidRPr="00DA5293">
        <w:rPr>
          <w:rFonts w:eastAsia="Times New Roman"/>
          <w:sz w:val="22"/>
          <w:szCs w:val="22"/>
        </w:rPr>
        <w:t>gelişimi için katma değer yaratmaya devam edecektir.</w:t>
      </w:r>
    </w:p>
    <w:p w:rsidR="00FF250F" w:rsidRPr="006F6EF3" w:rsidRDefault="00FF250F" w:rsidP="006F6EF3">
      <w:pPr>
        <w:jc w:val="center"/>
        <w:rPr>
          <w:rStyle w:val="IntenseReference"/>
          <w:color w:val="0033A0"/>
          <w:sz w:val="22"/>
          <w:szCs w:val="22"/>
        </w:rPr>
      </w:pPr>
      <w:r w:rsidRPr="006F6EF3">
        <w:rPr>
          <w:rStyle w:val="IntenseReference"/>
          <w:color w:val="0033A0"/>
          <w:szCs w:val="22"/>
        </w:rPr>
        <w:t>İ</w:t>
      </w:r>
      <w:r w:rsidR="00147F5B">
        <w:rPr>
          <w:rStyle w:val="IntenseReference"/>
          <w:color w:val="0033A0"/>
          <w:szCs w:val="22"/>
        </w:rPr>
        <w:t>ş</w:t>
      </w:r>
      <w:r w:rsidRPr="006F6EF3">
        <w:rPr>
          <w:rStyle w:val="IntenseReference"/>
          <w:color w:val="0033A0"/>
          <w:sz w:val="22"/>
          <w:szCs w:val="22"/>
        </w:rPr>
        <w:t xml:space="preserve"> </w:t>
      </w:r>
      <w:r w:rsidRPr="006F6EF3">
        <w:rPr>
          <w:rStyle w:val="IntenseReference"/>
          <w:color w:val="0033A0"/>
          <w:szCs w:val="22"/>
        </w:rPr>
        <w:t>Y</w:t>
      </w:r>
      <w:r w:rsidR="00147F5B">
        <w:rPr>
          <w:rStyle w:val="IntenseReference"/>
          <w:color w:val="0033A0"/>
          <w:szCs w:val="22"/>
        </w:rPr>
        <w:t>atırım’ın</w:t>
      </w:r>
      <w:r w:rsidRPr="006F6EF3">
        <w:rPr>
          <w:rStyle w:val="IntenseReference"/>
          <w:color w:val="0033A0"/>
          <w:sz w:val="22"/>
          <w:szCs w:val="22"/>
        </w:rPr>
        <w:t xml:space="preserve"> </w:t>
      </w:r>
      <w:r w:rsidRPr="006F6EF3">
        <w:rPr>
          <w:rStyle w:val="IntenseReference"/>
          <w:color w:val="0033A0"/>
          <w:szCs w:val="22"/>
        </w:rPr>
        <w:t>İ</w:t>
      </w:r>
      <w:r w:rsidR="00147F5B">
        <w:rPr>
          <w:rStyle w:val="IntenseReference"/>
          <w:color w:val="0033A0"/>
          <w:szCs w:val="22"/>
        </w:rPr>
        <w:t>lkleri</w:t>
      </w:r>
    </w:p>
    <w:p w:rsidR="00FF250F" w:rsidRPr="00FF250F" w:rsidRDefault="00FF250F" w:rsidP="001F3407">
      <w:pPr>
        <w:tabs>
          <w:tab w:val="left" w:pos="204"/>
          <w:tab w:val="center" w:pos="4536"/>
        </w:tabs>
        <w:spacing w:before="120"/>
        <w:jc w:val="both"/>
        <w:rPr>
          <w:rFonts w:eastAsia="Times New Roman"/>
          <w:sz w:val="22"/>
          <w:szCs w:val="22"/>
        </w:rPr>
      </w:pPr>
      <w:r w:rsidRPr="001F3407">
        <w:rPr>
          <w:rStyle w:val="IntenseReference"/>
          <w:color w:val="0033A0"/>
          <w:u w:val="none"/>
        </w:rPr>
        <w:t>1999</w:t>
      </w:r>
      <w:r w:rsidRPr="00FF250F">
        <w:rPr>
          <w:rFonts w:eastAsia="Times New Roman"/>
          <w:sz w:val="22"/>
          <w:szCs w:val="22"/>
        </w:rPr>
        <w:t xml:space="preserve"> İnternette ilk halka arz</w:t>
      </w:r>
    </w:p>
    <w:p w:rsidR="00FF250F" w:rsidRPr="00FF250F" w:rsidRDefault="00FF250F" w:rsidP="00FF250F">
      <w:pPr>
        <w:spacing w:before="120"/>
        <w:jc w:val="both"/>
        <w:rPr>
          <w:rFonts w:eastAsia="Times New Roman"/>
          <w:sz w:val="22"/>
          <w:szCs w:val="22"/>
        </w:rPr>
      </w:pPr>
      <w:r w:rsidRPr="001F3407">
        <w:rPr>
          <w:rStyle w:val="IntenseReference"/>
          <w:color w:val="0033A0"/>
          <w:u w:val="none"/>
        </w:rPr>
        <w:t>2000</w:t>
      </w:r>
      <w:r w:rsidRPr="00FF250F">
        <w:rPr>
          <w:rFonts w:eastAsia="Times New Roman"/>
          <w:sz w:val="22"/>
          <w:szCs w:val="22"/>
        </w:rPr>
        <w:t xml:space="preserve"> Bankamatik ile ilk halka arz</w:t>
      </w:r>
    </w:p>
    <w:p w:rsidR="00FF250F" w:rsidRPr="00FF250F" w:rsidRDefault="00FF250F" w:rsidP="00FF250F">
      <w:pPr>
        <w:spacing w:before="120"/>
        <w:jc w:val="both"/>
        <w:rPr>
          <w:rFonts w:eastAsia="Times New Roman"/>
          <w:sz w:val="22"/>
          <w:szCs w:val="22"/>
        </w:rPr>
      </w:pPr>
      <w:r w:rsidRPr="001F3407">
        <w:rPr>
          <w:rStyle w:val="IntenseReference"/>
          <w:color w:val="0033A0"/>
          <w:u w:val="none"/>
        </w:rPr>
        <w:t>2008</w:t>
      </w:r>
      <w:r w:rsidRPr="00FF250F">
        <w:rPr>
          <w:rFonts w:eastAsia="Times New Roman"/>
          <w:sz w:val="22"/>
          <w:szCs w:val="22"/>
        </w:rPr>
        <w:t xml:space="preserve"> İlk </w:t>
      </w:r>
      <w:proofErr w:type="spellStart"/>
      <w:r w:rsidRPr="00FF250F">
        <w:rPr>
          <w:rFonts w:eastAsia="Times New Roman"/>
          <w:sz w:val="22"/>
          <w:szCs w:val="22"/>
        </w:rPr>
        <w:t>hedge</w:t>
      </w:r>
      <w:proofErr w:type="spellEnd"/>
      <w:r w:rsidRPr="00FF250F">
        <w:rPr>
          <w:rFonts w:eastAsia="Times New Roman"/>
          <w:sz w:val="22"/>
          <w:szCs w:val="22"/>
        </w:rPr>
        <w:t xml:space="preserve"> fon; İş Yatırım Serbest</w:t>
      </w:r>
      <w:r w:rsidR="001F3407">
        <w:rPr>
          <w:rFonts w:eastAsia="Times New Roman"/>
          <w:sz w:val="22"/>
          <w:szCs w:val="22"/>
        </w:rPr>
        <w:t xml:space="preserve"> </w:t>
      </w:r>
      <w:r w:rsidRPr="00FF250F">
        <w:rPr>
          <w:rFonts w:eastAsia="Times New Roman"/>
          <w:sz w:val="22"/>
          <w:szCs w:val="22"/>
        </w:rPr>
        <w:t>Yatırım Fonu</w:t>
      </w:r>
      <w:r w:rsidR="001F3407">
        <w:rPr>
          <w:rFonts w:eastAsia="Times New Roman"/>
          <w:sz w:val="22"/>
          <w:szCs w:val="22"/>
        </w:rPr>
        <w:t xml:space="preserve"> ve </w:t>
      </w:r>
      <w:r w:rsidRPr="00FF250F">
        <w:rPr>
          <w:rFonts w:eastAsia="Times New Roman"/>
          <w:sz w:val="22"/>
          <w:szCs w:val="22"/>
        </w:rPr>
        <w:t>Müşterilere özel ilk uluslararası elektronik</w:t>
      </w:r>
      <w:r w:rsidR="001F3407">
        <w:rPr>
          <w:rFonts w:eastAsia="Times New Roman"/>
          <w:sz w:val="22"/>
          <w:szCs w:val="22"/>
        </w:rPr>
        <w:t xml:space="preserve"> </w:t>
      </w:r>
      <w:r w:rsidRPr="00FF250F">
        <w:rPr>
          <w:rFonts w:eastAsia="Times New Roman"/>
          <w:sz w:val="22"/>
          <w:szCs w:val="22"/>
        </w:rPr>
        <w:t>işlem platformu: TradeMaster International</w:t>
      </w:r>
    </w:p>
    <w:p w:rsidR="00FF250F" w:rsidRPr="00FF250F" w:rsidRDefault="00FF250F" w:rsidP="00FF250F">
      <w:pPr>
        <w:spacing w:before="120"/>
        <w:jc w:val="both"/>
        <w:rPr>
          <w:rFonts w:eastAsia="Times New Roman"/>
          <w:sz w:val="22"/>
          <w:szCs w:val="22"/>
        </w:rPr>
      </w:pPr>
      <w:r w:rsidRPr="001F3407">
        <w:rPr>
          <w:rStyle w:val="IntenseReference"/>
          <w:color w:val="0033A0"/>
          <w:u w:val="none"/>
        </w:rPr>
        <w:t>2010</w:t>
      </w:r>
      <w:r w:rsidRPr="00FF250F">
        <w:rPr>
          <w:rFonts w:eastAsia="Times New Roman"/>
          <w:sz w:val="22"/>
          <w:szCs w:val="22"/>
        </w:rPr>
        <w:t xml:space="preserve"> Aracı kuruluş varantı çıkaran ilk</w:t>
      </w:r>
      <w:r w:rsidR="001F3407">
        <w:rPr>
          <w:rFonts w:eastAsia="Times New Roman"/>
          <w:sz w:val="22"/>
          <w:szCs w:val="22"/>
        </w:rPr>
        <w:t xml:space="preserve"> </w:t>
      </w:r>
      <w:r w:rsidRPr="00FF250F">
        <w:rPr>
          <w:rFonts w:eastAsia="Times New Roman"/>
          <w:sz w:val="22"/>
          <w:szCs w:val="22"/>
        </w:rPr>
        <w:t>Türk şirketi</w:t>
      </w:r>
      <w:r w:rsidR="001F3407">
        <w:rPr>
          <w:rFonts w:eastAsia="Times New Roman"/>
          <w:sz w:val="22"/>
          <w:szCs w:val="22"/>
        </w:rPr>
        <w:t xml:space="preserve"> ve </w:t>
      </w:r>
      <w:r w:rsidRPr="00FF250F">
        <w:rPr>
          <w:rFonts w:eastAsia="Times New Roman"/>
          <w:sz w:val="22"/>
          <w:szCs w:val="22"/>
        </w:rPr>
        <w:t>İMKB’de ilk yabancı şirket halka arzı; DO&amp;CO</w:t>
      </w:r>
    </w:p>
    <w:p w:rsidR="00FF250F" w:rsidRPr="00FF250F" w:rsidRDefault="00FF250F" w:rsidP="00FF250F">
      <w:pPr>
        <w:spacing w:before="120"/>
        <w:jc w:val="both"/>
        <w:rPr>
          <w:rFonts w:eastAsia="Times New Roman"/>
          <w:sz w:val="22"/>
          <w:szCs w:val="22"/>
        </w:rPr>
      </w:pPr>
      <w:r w:rsidRPr="001F3407">
        <w:rPr>
          <w:rStyle w:val="IntenseReference"/>
          <w:color w:val="0033A0"/>
          <w:u w:val="none"/>
        </w:rPr>
        <w:t>2011</w:t>
      </w:r>
      <w:r w:rsidRPr="00FF250F">
        <w:rPr>
          <w:rFonts w:eastAsia="Times New Roman"/>
          <w:sz w:val="22"/>
          <w:szCs w:val="22"/>
        </w:rPr>
        <w:t xml:space="preserve"> Döviz üzerine ilk varant ihracı</w:t>
      </w:r>
    </w:p>
    <w:p w:rsidR="00FF250F" w:rsidRPr="00FF250F" w:rsidRDefault="00FF250F" w:rsidP="00FF250F">
      <w:pPr>
        <w:spacing w:before="120"/>
        <w:jc w:val="both"/>
        <w:rPr>
          <w:rFonts w:eastAsia="Times New Roman"/>
          <w:sz w:val="22"/>
          <w:szCs w:val="22"/>
        </w:rPr>
      </w:pPr>
      <w:r w:rsidRPr="001F3407">
        <w:rPr>
          <w:rStyle w:val="IntenseReference"/>
          <w:color w:val="0033A0"/>
          <w:u w:val="none"/>
        </w:rPr>
        <w:t>2012</w:t>
      </w:r>
      <w:r w:rsidRPr="00FF250F">
        <w:rPr>
          <w:rFonts w:eastAsia="Times New Roman"/>
          <w:sz w:val="22"/>
          <w:szCs w:val="22"/>
        </w:rPr>
        <w:t xml:space="preserve"> </w:t>
      </w:r>
      <w:proofErr w:type="spellStart"/>
      <w:r w:rsidR="001F3407" w:rsidRPr="00FF250F">
        <w:rPr>
          <w:rFonts w:eastAsia="Times New Roman"/>
          <w:sz w:val="22"/>
          <w:szCs w:val="22"/>
        </w:rPr>
        <w:t>VİOP’ta</w:t>
      </w:r>
      <w:proofErr w:type="spellEnd"/>
      <w:r w:rsidR="001F3407" w:rsidRPr="00FF250F">
        <w:rPr>
          <w:rFonts w:eastAsia="Times New Roman"/>
          <w:sz w:val="22"/>
          <w:szCs w:val="22"/>
        </w:rPr>
        <w:t xml:space="preserve"> işlem yapan ilk kuruluş</w:t>
      </w:r>
      <w:r w:rsidR="001F3407">
        <w:rPr>
          <w:rFonts w:eastAsia="Times New Roman"/>
          <w:sz w:val="22"/>
          <w:szCs w:val="22"/>
        </w:rPr>
        <w:t xml:space="preserve"> ve </w:t>
      </w:r>
      <w:r w:rsidRPr="00FF250F">
        <w:rPr>
          <w:rFonts w:eastAsia="Times New Roman"/>
          <w:sz w:val="22"/>
          <w:szCs w:val="22"/>
        </w:rPr>
        <w:t>Türk sermaye piyasalarında ilk aracı</w:t>
      </w:r>
      <w:r w:rsidR="001F3407">
        <w:rPr>
          <w:rFonts w:eastAsia="Times New Roman"/>
          <w:sz w:val="22"/>
          <w:szCs w:val="22"/>
        </w:rPr>
        <w:t xml:space="preserve"> </w:t>
      </w:r>
      <w:r w:rsidRPr="00FF250F">
        <w:rPr>
          <w:rFonts w:eastAsia="Times New Roman"/>
          <w:sz w:val="22"/>
          <w:szCs w:val="22"/>
        </w:rPr>
        <w:t>kurum finansman bonosu halka arzı</w:t>
      </w:r>
    </w:p>
    <w:p w:rsidR="00FF250F" w:rsidRPr="00FF250F" w:rsidRDefault="00FF250F" w:rsidP="00FF250F">
      <w:pPr>
        <w:spacing w:before="120"/>
        <w:jc w:val="both"/>
        <w:rPr>
          <w:rFonts w:eastAsia="Times New Roman"/>
          <w:sz w:val="22"/>
          <w:szCs w:val="22"/>
        </w:rPr>
      </w:pPr>
      <w:r w:rsidRPr="001F3407">
        <w:rPr>
          <w:rStyle w:val="IntenseReference"/>
          <w:color w:val="0033A0"/>
          <w:u w:val="none"/>
        </w:rPr>
        <w:t>2013</w:t>
      </w:r>
      <w:r w:rsidRPr="00FF250F">
        <w:rPr>
          <w:rFonts w:eastAsia="Times New Roman"/>
          <w:sz w:val="22"/>
          <w:szCs w:val="22"/>
        </w:rPr>
        <w:t xml:space="preserve"> </w:t>
      </w:r>
      <w:r w:rsidRPr="001C7E0C">
        <w:rPr>
          <w:rFonts w:eastAsia="Times New Roman"/>
          <w:sz w:val="22"/>
          <w:szCs w:val="22"/>
        </w:rPr>
        <w:t>İlk yurtiçi özel sektör</w:t>
      </w:r>
      <w:r w:rsidRPr="00FF250F">
        <w:rPr>
          <w:rFonts w:eastAsia="Times New Roman"/>
          <w:sz w:val="22"/>
          <w:szCs w:val="22"/>
        </w:rPr>
        <w:t xml:space="preserve"> kira</w:t>
      </w:r>
      <w:r w:rsidR="001F3407">
        <w:rPr>
          <w:rFonts w:eastAsia="Times New Roman"/>
          <w:sz w:val="22"/>
          <w:szCs w:val="22"/>
        </w:rPr>
        <w:t xml:space="preserve"> </w:t>
      </w:r>
      <w:r w:rsidRPr="00FF250F">
        <w:rPr>
          <w:rFonts w:eastAsia="Times New Roman"/>
          <w:sz w:val="22"/>
          <w:szCs w:val="22"/>
        </w:rPr>
        <w:t>sertifikası (</w:t>
      </w:r>
      <w:proofErr w:type="spellStart"/>
      <w:r w:rsidRPr="00FF250F">
        <w:rPr>
          <w:rFonts w:eastAsia="Times New Roman"/>
          <w:sz w:val="22"/>
          <w:szCs w:val="22"/>
        </w:rPr>
        <w:t>sukuk</w:t>
      </w:r>
      <w:proofErr w:type="spellEnd"/>
      <w:r w:rsidRPr="00FF250F">
        <w:rPr>
          <w:rFonts w:eastAsia="Times New Roman"/>
          <w:sz w:val="22"/>
          <w:szCs w:val="22"/>
        </w:rPr>
        <w:t>) halka arzı</w:t>
      </w:r>
    </w:p>
    <w:p w:rsidR="00FF250F" w:rsidRPr="00FF250F" w:rsidRDefault="00FF250F" w:rsidP="00FF250F">
      <w:pPr>
        <w:spacing w:before="120"/>
        <w:jc w:val="both"/>
        <w:rPr>
          <w:rFonts w:eastAsia="Times New Roman"/>
          <w:sz w:val="22"/>
          <w:szCs w:val="22"/>
        </w:rPr>
      </w:pPr>
      <w:r w:rsidRPr="001F3407">
        <w:rPr>
          <w:rStyle w:val="IntenseReference"/>
          <w:color w:val="0033A0"/>
          <w:u w:val="none"/>
        </w:rPr>
        <w:t>2014</w:t>
      </w:r>
      <w:r w:rsidRPr="00FF250F">
        <w:rPr>
          <w:rFonts w:eastAsia="Times New Roman"/>
          <w:sz w:val="22"/>
          <w:szCs w:val="22"/>
        </w:rPr>
        <w:t xml:space="preserve"> Borsa İstanbul pay piyasasında ilk</w:t>
      </w:r>
      <w:r w:rsidR="001F3407">
        <w:rPr>
          <w:rFonts w:eastAsia="Times New Roman"/>
          <w:sz w:val="22"/>
          <w:szCs w:val="22"/>
        </w:rPr>
        <w:t xml:space="preserve"> </w:t>
      </w:r>
      <w:r w:rsidRPr="00FF250F">
        <w:rPr>
          <w:rFonts w:eastAsia="Times New Roman"/>
          <w:sz w:val="22"/>
          <w:szCs w:val="22"/>
        </w:rPr>
        <w:t>likidite sağlayıcısı</w:t>
      </w:r>
      <w:r w:rsidR="001F3407">
        <w:rPr>
          <w:rFonts w:eastAsia="Times New Roman"/>
          <w:sz w:val="22"/>
          <w:szCs w:val="22"/>
        </w:rPr>
        <w:t xml:space="preserve"> ve </w:t>
      </w:r>
      <w:r w:rsidRPr="00FF250F">
        <w:rPr>
          <w:rFonts w:eastAsia="Times New Roman"/>
          <w:sz w:val="22"/>
          <w:szCs w:val="22"/>
        </w:rPr>
        <w:t>İlk düello varant ihracı</w:t>
      </w:r>
    </w:p>
    <w:p w:rsidR="00FF250F" w:rsidRDefault="00FF250F" w:rsidP="00FF250F">
      <w:pPr>
        <w:spacing w:before="120"/>
        <w:jc w:val="both"/>
        <w:rPr>
          <w:rFonts w:eastAsia="Times New Roman"/>
          <w:sz w:val="22"/>
          <w:szCs w:val="22"/>
        </w:rPr>
      </w:pPr>
      <w:r w:rsidRPr="001F3407">
        <w:rPr>
          <w:rStyle w:val="IntenseReference"/>
          <w:color w:val="0033A0"/>
          <w:u w:val="none"/>
        </w:rPr>
        <w:t>2015</w:t>
      </w:r>
      <w:r w:rsidRPr="00FF250F">
        <w:rPr>
          <w:rFonts w:eastAsia="Times New Roman"/>
          <w:sz w:val="22"/>
          <w:szCs w:val="22"/>
        </w:rPr>
        <w:t xml:space="preserve"> İlk petrol varantları ihracı</w:t>
      </w:r>
      <w:r w:rsidR="001F3407">
        <w:rPr>
          <w:rFonts w:eastAsia="Times New Roman"/>
          <w:sz w:val="22"/>
          <w:szCs w:val="22"/>
        </w:rPr>
        <w:t xml:space="preserve"> </w:t>
      </w:r>
      <w:r w:rsidRPr="00FF250F">
        <w:rPr>
          <w:rFonts w:eastAsia="Times New Roman"/>
          <w:sz w:val="22"/>
          <w:szCs w:val="22"/>
        </w:rPr>
        <w:t>(</w:t>
      </w:r>
      <w:proofErr w:type="spellStart"/>
      <w:r w:rsidRPr="00FF250F">
        <w:rPr>
          <w:rFonts w:eastAsia="Times New Roman"/>
          <w:sz w:val="22"/>
          <w:szCs w:val="22"/>
        </w:rPr>
        <w:t>Brent</w:t>
      </w:r>
      <w:proofErr w:type="spellEnd"/>
      <w:r w:rsidRPr="00FF250F">
        <w:rPr>
          <w:rFonts w:eastAsia="Times New Roman"/>
          <w:sz w:val="22"/>
          <w:szCs w:val="22"/>
        </w:rPr>
        <w:t xml:space="preserve"> Petrol)</w:t>
      </w:r>
    </w:p>
    <w:p w:rsidR="00DA5293" w:rsidRDefault="00DA5293" w:rsidP="00FF250F">
      <w:pPr>
        <w:spacing w:before="120"/>
        <w:jc w:val="both"/>
        <w:rPr>
          <w:rFonts w:eastAsia="Times New Roman"/>
          <w:sz w:val="22"/>
          <w:szCs w:val="22"/>
        </w:rPr>
      </w:pPr>
    </w:p>
    <w:p w:rsidR="00FD7991" w:rsidRDefault="00FD7991" w:rsidP="00FF250F">
      <w:pPr>
        <w:spacing w:before="120"/>
        <w:jc w:val="both"/>
        <w:rPr>
          <w:rFonts w:eastAsia="Times New Roman"/>
          <w:sz w:val="22"/>
          <w:szCs w:val="22"/>
        </w:rPr>
      </w:pPr>
    </w:p>
    <w:p w:rsidR="006F6EF3" w:rsidRDefault="006F6EF3" w:rsidP="00FF250F">
      <w:pPr>
        <w:spacing w:before="120"/>
        <w:jc w:val="both"/>
        <w:rPr>
          <w:rFonts w:eastAsia="Times New Roman"/>
          <w:sz w:val="22"/>
          <w:szCs w:val="22"/>
        </w:rPr>
      </w:pPr>
    </w:p>
    <w:p w:rsidR="006F6EF3" w:rsidRPr="006F6EF3" w:rsidRDefault="006F6EF3" w:rsidP="006F6EF3">
      <w:pPr>
        <w:jc w:val="center"/>
        <w:rPr>
          <w:rStyle w:val="IntenseReference"/>
          <w:color w:val="0033A0"/>
          <w:sz w:val="22"/>
          <w:szCs w:val="22"/>
        </w:rPr>
      </w:pPr>
      <w:proofErr w:type="gramStart"/>
      <w:r w:rsidRPr="006F6EF3">
        <w:rPr>
          <w:rStyle w:val="IntenseReference"/>
          <w:color w:val="0033A0"/>
          <w:sz w:val="28"/>
          <w:szCs w:val="22"/>
        </w:rPr>
        <w:lastRenderedPageBreak/>
        <w:t>r</w:t>
      </w:r>
      <w:r w:rsidRPr="006F6EF3">
        <w:rPr>
          <w:rStyle w:val="IntenseReference"/>
          <w:color w:val="0033A0"/>
          <w:sz w:val="22"/>
          <w:szCs w:val="22"/>
        </w:rPr>
        <w:t>akamlarla</w:t>
      </w:r>
      <w:proofErr w:type="gramEnd"/>
      <w:r w:rsidRPr="006F6EF3">
        <w:rPr>
          <w:rStyle w:val="IntenseReference"/>
          <w:color w:val="0033A0"/>
          <w:sz w:val="22"/>
          <w:szCs w:val="22"/>
        </w:rPr>
        <w:t xml:space="preserve"> </w:t>
      </w:r>
      <w:r w:rsidRPr="006F6EF3">
        <w:rPr>
          <w:rStyle w:val="IntenseReference"/>
          <w:color w:val="0033A0"/>
          <w:szCs w:val="22"/>
        </w:rPr>
        <w:t>İ</w:t>
      </w:r>
      <w:r w:rsidR="00147F5B">
        <w:rPr>
          <w:rStyle w:val="IntenseReference"/>
          <w:color w:val="0033A0"/>
          <w:szCs w:val="22"/>
        </w:rPr>
        <w:t>ş</w:t>
      </w:r>
      <w:r w:rsidRPr="006F6EF3">
        <w:rPr>
          <w:rStyle w:val="IntenseReference"/>
          <w:color w:val="0033A0"/>
          <w:sz w:val="22"/>
          <w:szCs w:val="22"/>
        </w:rPr>
        <w:t xml:space="preserve"> Y</w:t>
      </w:r>
      <w:r w:rsidR="00147F5B">
        <w:rPr>
          <w:rStyle w:val="IntenseReference"/>
          <w:color w:val="0033A0"/>
          <w:sz w:val="22"/>
          <w:szCs w:val="22"/>
        </w:rPr>
        <w:t>atırım</w:t>
      </w:r>
    </w:p>
    <w:p w:rsidR="00875937" w:rsidRPr="00875937" w:rsidRDefault="00875937" w:rsidP="006F6EF3">
      <w:pPr>
        <w:pStyle w:val="ListParagraph"/>
        <w:numPr>
          <w:ilvl w:val="0"/>
          <w:numId w:val="3"/>
        </w:numPr>
        <w:spacing w:before="120" w:after="120" w:line="360" w:lineRule="auto"/>
        <w:ind w:left="425" w:hanging="357"/>
        <w:jc w:val="both"/>
        <w:rPr>
          <w:rFonts w:eastAsia="Times New Roman"/>
          <w:sz w:val="22"/>
          <w:szCs w:val="22"/>
        </w:rPr>
      </w:pPr>
      <w:proofErr w:type="gramStart"/>
      <w:r w:rsidRPr="00875937">
        <w:rPr>
          <w:rFonts w:eastAsia="Times New Roman"/>
          <w:sz w:val="22"/>
          <w:szCs w:val="22"/>
        </w:rPr>
        <w:t>Aktif büyüklüğü sektörün toplam aktiflerinin %36’sı.</w:t>
      </w:r>
      <w:proofErr w:type="gramEnd"/>
    </w:p>
    <w:p w:rsidR="00875937" w:rsidRPr="00875937" w:rsidRDefault="00875937" w:rsidP="00D809C0">
      <w:pPr>
        <w:pStyle w:val="ListParagraph"/>
        <w:numPr>
          <w:ilvl w:val="0"/>
          <w:numId w:val="3"/>
        </w:numPr>
        <w:spacing w:before="120" w:after="120" w:line="360" w:lineRule="auto"/>
        <w:ind w:left="426" w:hanging="357"/>
        <w:jc w:val="both"/>
        <w:rPr>
          <w:rFonts w:eastAsia="Times New Roman"/>
          <w:sz w:val="22"/>
          <w:szCs w:val="22"/>
        </w:rPr>
      </w:pPr>
      <w:r w:rsidRPr="00875937">
        <w:rPr>
          <w:rFonts w:eastAsia="Times New Roman"/>
          <w:sz w:val="22"/>
          <w:szCs w:val="22"/>
        </w:rPr>
        <w:t>Özkaynak büyüklüğü sektörün toplam özkaynaklarının %12’si.</w:t>
      </w:r>
    </w:p>
    <w:p w:rsidR="00875937" w:rsidRPr="00875937" w:rsidRDefault="00875937" w:rsidP="00D809C0">
      <w:pPr>
        <w:pStyle w:val="ListParagraph"/>
        <w:numPr>
          <w:ilvl w:val="0"/>
          <w:numId w:val="3"/>
        </w:numPr>
        <w:spacing w:before="120" w:after="120" w:line="360" w:lineRule="auto"/>
        <w:ind w:left="426" w:hanging="357"/>
        <w:jc w:val="both"/>
        <w:rPr>
          <w:rFonts w:eastAsia="Times New Roman"/>
          <w:sz w:val="22"/>
          <w:szCs w:val="22"/>
        </w:rPr>
      </w:pPr>
      <w:r w:rsidRPr="00875937">
        <w:rPr>
          <w:rFonts w:eastAsia="Times New Roman"/>
          <w:sz w:val="22"/>
          <w:szCs w:val="22"/>
        </w:rPr>
        <w:t xml:space="preserve">Net karı sektörün toplam net karının </w:t>
      </w:r>
      <w:r w:rsidRPr="001C7E0C">
        <w:rPr>
          <w:rFonts w:eastAsia="Times New Roman"/>
          <w:sz w:val="22"/>
          <w:szCs w:val="22"/>
        </w:rPr>
        <w:t>%</w:t>
      </w:r>
      <w:r w:rsidR="002B7012" w:rsidRPr="001C7E0C">
        <w:rPr>
          <w:rFonts w:eastAsia="Times New Roman"/>
          <w:sz w:val="22"/>
          <w:szCs w:val="22"/>
        </w:rPr>
        <w:t>24</w:t>
      </w:r>
      <w:r w:rsidRPr="001C7E0C">
        <w:rPr>
          <w:rFonts w:eastAsia="Times New Roman"/>
          <w:sz w:val="22"/>
          <w:szCs w:val="22"/>
        </w:rPr>
        <w:t>’</w:t>
      </w:r>
      <w:r w:rsidR="002B7012" w:rsidRPr="001C7E0C">
        <w:rPr>
          <w:rFonts w:eastAsia="Times New Roman"/>
          <w:sz w:val="22"/>
          <w:szCs w:val="22"/>
        </w:rPr>
        <w:t>ü</w:t>
      </w:r>
      <w:r w:rsidRPr="00875937">
        <w:rPr>
          <w:rFonts w:eastAsia="Times New Roman"/>
          <w:sz w:val="22"/>
          <w:szCs w:val="22"/>
        </w:rPr>
        <w:t>.</w:t>
      </w:r>
    </w:p>
    <w:p w:rsidR="00875937" w:rsidRPr="00875937" w:rsidRDefault="00875937" w:rsidP="00D809C0">
      <w:pPr>
        <w:pStyle w:val="ListParagraph"/>
        <w:numPr>
          <w:ilvl w:val="0"/>
          <w:numId w:val="3"/>
        </w:numPr>
        <w:spacing w:before="120" w:after="120" w:line="360" w:lineRule="auto"/>
        <w:ind w:left="426" w:hanging="357"/>
        <w:jc w:val="both"/>
        <w:rPr>
          <w:rFonts w:eastAsia="Times New Roman"/>
          <w:sz w:val="22"/>
          <w:szCs w:val="22"/>
        </w:rPr>
      </w:pPr>
      <w:r w:rsidRPr="00875937">
        <w:rPr>
          <w:rFonts w:eastAsia="Times New Roman"/>
          <w:sz w:val="22"/>
          <w:szCs w:val="22"/>
        </w:rPr>
        <w:t>Çalışan sayısı sektörün toplam çalışan sayısının %6’sı</w:t>
      </w:r>
    </w:p>
    <w:p w:rsidR="00875937" w:rsidRPr="00875937" w:rsidRDefault="00875937" w:rsidP="00D809C0">
      <w:pPr>
        <w:pStyle w:val="ListParagraph"/>
        <w:numPr>
          <w:ilvl w:val="0"/>
          <w:numId w:val="3"/>
        </w:numPr>
        <w:spacing w:before="120" w:after="120" w:line="360" w:lineRule="auto"/>
        <w:ind w:left="426"/>
        <w:jc w:val="both"/>
        <w:rPr>
          <w:rFonts w:eastAsia="Times New Roman"/>
          <w:sz w:val="22"/>
          <w:szCs w:val="22"/>
        </w:rPr>
      </w:pPr>
      <w:r w:rsidRPr="00875937">
        <w:rPr>
          <w:rFonts w:eastAsia="Times New Roman"/>
          <w:sz w:val="22"/>
          <w:szCs w:val="22"/>
        </w:rPr>
        <w:t xml:space="preserve">Pay Piyasasında 2003-2015 arası, tam 13 yıl kesintisiz ve ortalama %7 pay ile işlem hacminde lider </w:t>
      </w:r>
    </w:p>
    <w:p w:rsidR="00875937" w:rsidRPr="00875937" w:rsidRDefault="00875937" w:rsidP="007076BC">
      <w:pPr>
        <w:pStyle w:val="ListParagraph"/>
        <w:numPr>
          <w:ilvl w:val="0"/>
          <w:numId w:val="3"/>
        </w:numPr>
        <w:spacing w:before="120" w:after="120" w:line="360" w:lineRule="auto"/>
        <w:ind w:left="426" w:right="-426"/>
        <w:jc w:val="both"/>
        <w:rPr>
          <w:rFonts w:eastAsia="Times New Roman"/>
          <w:sz w:val="22"/>
          <w:szCs w:val="22"/>
        </w:rPr>
      </w:pPr>
      <w:r w:rsidRPr="00875937">
        <w:rPr>
          <w:rFonts w:eastAsia="Times New Roman"/>
          <w:sz w:val="22"/>
          <w:szCs w:val="22"/>
        </w:rPr>
        <w:t xml:space="preserve">Vadeli işlem piyasalarında 2005-2015 arasında kesintisiz ve ortalama %15 pay ile işlem hacminde lider </w:t>
      </w:r>
    </w:p>
    <w:p w:rsidR="00875937" w:rsidRPr="00875937" w:rsidRDefault="00875937" w:rsidP="00D809C0">
      <w:pPr>
        <w:pStyle w:val="ListParagraph"/>
        <w:numPr>
          <w:ilvl w:val="0"/>
          <w:numId w:val="3"/>
        </w:numPr>
        <w:spacing w:before="120" w:after="120" w:line="360" w:lineRule="auto"/>
        <w:ind w:left="426"/>
        <w:jc w:val="both"/>
        <w:rPr>
          <w:rFonts w:eastAsia="Times New Roman"/>
          <w:sz w:val="22"/>
          <w:szCs w:val="22"/>
        </w:rPr>
      </w:pPr>
      <w:r w:rsidRPr="00875937">
        <w:rPr>
          <w:rFonts w:eastAsia="Times New Roman"/>
          <w:sz w:val="22"/>
          <w:szCs w:val="22"/>
        </w:rPr>
        <w:t>Ortalama %6 temettü verimliliği ile borsa ortalamasının yaklaşık 3 katı</w:t>
      </w:r>
    </w:p>
    <w:p w:rsidR="00C52EC2" w:rsidRPr="00875937" w:rsidRDefault="00875937" w:rsidP="00D809C0">
      <w:pPr>
        <w:pStyle w:val="ListParagraph"/>
        <w:numPr>
          <w:ilvl w:val="0"/>
          <w:numId w:val="3"/>
        </w:numPr>
        <w:spacing w:before="120" w:after="120" w:line="360" w:lineRule="auto"/>
        <w:ind w:left="426"/>
        <w:jc w:val="both"/>
        <w:rPr>
          <w:rFonts w:eastAsia="Times New Roman"/>
          <w:sz w:val="22"/>
          <w:szCs w:val="22"/>
        </w:rPr>
      </w:pPr>
      <w:r w:rsidRPr="00875937">
        <w:rPr>
          <w:rFonts w:eastAsia="Times New Roman"/>
          <w:sz w:val="22"/>
          <w:szCs w:val="22"/>
        </w:rPr>
        <w:t>Pay halka arzı yoluyla şirketlere sağlanan toplam kaynak 9</w:t>
      </w:r>
      <w:r w:rsidR="002B7012" w:rsidRPr="001C7E0C">
        <w:rPr>
          <w:rFonts w:eastAsia="Times New Roman"/>
          <w:sz w:val="22"/>
          <w:szCs w:val="22"/>
        </w:rPr>
        <w:t>,1</w:t>
      </w:r>
      <w:r w:rsidRPr="00875937">
        <w:rPr>
          <w:rFonts w:eastAsia="Times New Roman"/>
          <w:sz w:val="22"/>
          <w:szCs w:val="22"/>
        </w:rPr>
        <w:t xml:space="preserve"> milyar TL</w:t>
      </w:r>
    </w:p>
    <w:p w:rsidR="004C35A5" w:rsidRPr="00875937" w:rsidRDefault="004C35A5" w:rsidP="00D809C0">
      <w:pPr>
        <w:pStyle w:val="ListParagraph"/>
        <w:numPr>
          <w:ilvl w:val="0"/>
          <w:numId w:val="3"/>
        </w:numPr>
        <w:spacing w:before="120" w:after="120" w:line="360" w:lineRule="auto"/>
        <w:ind w:left="426"/>
        <w:jc w:val="both"/>
        <w:rPr>
          <w:rFonts w:eastAsia="Times New Roman"/>
          <w:sz w:val="22"/>
          <w:szCs w:val="22"/>
        </w:rPr>
      </w:pPr>
      <w:proofErr w:type="spellStart"/>
      <w:r w:rsidRPr="00875937">
        <w:rPr>
          <w:rFonts w:eastAsia="Times New Roman"/>
          <w:sz w:val="22"/>
          <w:szCs w:val="22"/>
        </w:rPr>
        <w:t>B</w:t>
      </w:r>
      <w:r w:rsidR="00BF7764">
        <w:rPr>
          <w:rFonts w:eastAsia="Times New Roman"/>
          <w:sz w:val="22"/>
          <w:szCs w:val="22"/>
        </w:rPr>
        <w:t>irleşme</w:t>
      </w:r>
      <w:r w:rsidRPr="00875937">
        <w:rPr>
          <w:rFonts w:eastAsia="Times New Roman"/>
          <w:sz w:val="22"/>
          <w:szCs w:val="22"/>
        </w:rPr>
        <w:t>&amp;D</w:t>
      </w:r>
      <w:r w:rsidR="00BF7764">
        <w:rPr>
          <w:rFonts w:eastAsia="Times New Roman"/>
          <w:sz w:val="22"/>
          <w:szCs w:val="22"/>
        </w:rPr>
        <w:t>evralma</w:t>
      </w:r>
      <w:proofErr w:type="spellEnd"/>
      <w:r w:rsidRPr="00875937">
        <w:rPr>
          <w:rFonts w:eastAsia="Times New Roman"/>
          <w:sz w:val="22"/>
          <w:szCs w:val="22"/>
        </w:rPr>
        <w:t xml:space="preserve"> işlemleriyle 2000 yılından bu yana şirketlere </w:t>
      </w:r>
      <w:r w:rsidR="00875937" w:rsidRPr="00875937">
        <w:rPr>
          <w:rFonts w:eastAsia="Times New Roman"/>
          <w:sz w:val="22"/>
          <w:szCs w:val="22"/>
        </w:rPr>
        <w:t xml:space="preserve">sağlanan kaynak </w:t>
      </w:r>
      <w:r w:rsidR="002B7012" w:rsidRPr="001C7E0C">
        <w:rPr>
          <w:rFonts w:eastAsia="Times New Roman"/>
          <w:sz w:val="22"/>
          <w:szCs w:val="22"/>
        </w:rPr>
        <w:t>35</w:t>
      </w:r>
      <w:r w:rsidRPr="001C7E0C">
        <w:rPr>
          <w:rFonts w:eastAsia="Times New Roman"/>
          <w:sz w:val="22"/>
          <w:szCs w:val="22"/>
        </w:rPr>
        <w:t xml:space="preserve"> milyar TL</w:t>
      </w:r>
      <w:r w:rsidRPr="00875937">
        <w:rPr>
          <w:rFonts w:eastAsia="Times New Roman"/>
          <w:sz w:val="22"/>
          <w:szCs w:val="22"/>
        </w:rPr>
        <w:t xml:space="preserve"> </w:t>
      </w:r>
    </w:p>
    <w:p w:rsidR="00840202" w:rsidRPr="00485663" w:rsidRDefault="004C35A5" w:rsidP="00EA360C">
      <w:pPr>
        <w:pStyle w:val="ListParagraph"/>
        <w:numPr>
          <w:ilvl w:val="0"/>
          <w:numId w:val="3"/>
        </w:numPr>
        <w:spacing w:before="120" w:after="120" w:line="360" w:lineRule="auto"/>
        <w:ind w:left="426" w:right="-851"/>
        <w:jc w:val="both"/>
        <w:rPr>
          <w:rFonts w:ascii="Arial" w:eastAsia="Times New Roman" w:hAnsi="Arial" w:cs="Arial"/>
          <w:sz w:val="22"/>
          <w:szCs w:val="22"/>
        </w:rPr>
      </w:pPr>
      <w:r w:rsidRPr="009862C5">
        <w:rPr>
          <w:rFonts w:eastAsia="Times New Roman"/>
          <w:sz w:val="22"/>
          <w:szCs w:val="22"/>
        </w:rPr>
        <w:t xml:space="preserve">Özel sektör borçlanma araçlarının ihracına aracılık yoluyla 2007 yılından bugüne özel sektör şirketlerine </w:t>
      </w:r>
      <w:r w:rsidR="00875937" w:rsidRPr="009862C5">
        <w:rPr>
          <w:rFonts w:eastAsia="Times New Roman"/>
          <w:sz w:val="22"/>
          <w:szCs w:val="22"/>
        </w:rPr>
        <w:t xml:space="preserve">sağlanan kaynak </w:t>
      </w:r>
      <w:r w:rsidRPr="009862C5">
        <w:rPr>
          <w:rFonts w:eastAsia="Times New Roman"/>
          <w:sz w:val="22"/>
          <w:szCs w:val="22"/>
        </w:rPr>
        <w:t xml:space="preserve">75 milyar </w:t>
      </w:r>
      <w:r w:rsidR="002B7012" w:rsidRPr="001C7E0C">
        <w:rPr>
          <w:rFonts w:eastAsia="Times New Roman"/>
          <w:sz w:val="22"/>
          <w:szCs w:val="22"/>
        </w:rPr>
        <w:t>TL</w:t>
      </w:r>
    </w:p>
    <w:p w:rsidR="00485663" w:rsidRPr="00875937" w:rsidRDefault="00485663" w:rsidP="00485663">
      <w:pPr>
        <w:pStyle w:val="ListParagraph"/>
        <w:numPr>
          <w:ilvl w:val="0"/>
          <w:numId w:val="3"/>
        </w:numPr>
        <w:spacing w:before="120" w:after="120" w:line="360" w:lineRule="auto"/>
        <w:ind w:left="426" w:hanging="357"/>
        <w:jc w:val="both"/>
        <w:rPr>
          <w:rFonts w:eastAsia="Times New Roman"/>
          <w:sz w:val="22"/>
          <w:szCs w:val="22"/>
        </w:rPr>
      </w:pPr>
      <w:proofErr w:type="spellStart"/>
      <w:r w:rsidRPr="00875937">
        <w:rPr>
          <w:rFonts w:eastAsia="Times New Roman"/>
          <w:sz w:val="22"/>
          <w:szCs w:val="22"/>
        </w:rPr>
        <w:t>Fitch</w:t>
      </w:r>
      <w:proofErr w:type="spellEnd"/>
      <w:r w:rsidRPr="00875937">
        <w:rPr>
          <w:rFonts w:eastAsia="Times New Roman"/>
          <w:sz w:val="22"/>
          <w:szCs w:val="22"/>
        </w:rPr>
        <w:t xml:space="preserve"> </w:t>
      </w:r>
      <w:proofErr w:type="spellStart"/>
      <w:r w:rsidRPr="00875937">
        <w:rPr>
          <w:rFonts w:eastAsia="Times New Roman"/>
          <w:sz w:val="22"/>
          <w:szCs w:val="22"/>
        </w:rPr>
        <w:t>Ratings</w:t>
      </w:r>
      <w:proofErr w:type="spellEnd"/>
      <w:r w:rsidRPr="00875937">
        <w:rPr>
          <w:rFonts w:eastAsia="Times New Roman"/>
          <w:sz w:val="22"/>
          <w:szCs w:val="22"/>
        </w:rPr>
        <w:t xml:space="preserve"> uzun vadeli ulusal kredi notu; durağan görünüm AA+</w:t>
      </w:r>
    </w:p>
    <w:p w:rsidR="00485663" w:rsidRPr="001C7E0C" w:rsidRDefault="002B7012" w:rsidP="00485663">
      <w:pPr>
        <w:pStyle w:val="ListParagraph"/>
        <w:numPr>
          <w:ilvl w:val="0"/>
          <w:numId w:val="3"/>
        </w:numPr>
        <w:spacing w:before="120" w:after="120" w:line="360" w:lineRule="auto"/>
        <w:ind w:left="426" w:hanging="357"/>
        <w:jc w:val="both"/>
        <w:rPr>
          <w:rFonts w:eastAsia="Times New Roman"/>
          <w:sz w:val="22"/>
          <w:szCs w:val="22"/>
        </w:rPr>
      </w:pPr>
      <w:r w:rsidRPr="001C7E0C">
        <w:rPr>
          <w:rFonts w:eastAsia="Times New Roman"/>
          <w:sz w:val="22"/>
          <w:szCs w:val="22"/>
        </w:rPr>
        <w:t xml:space="preserve">Saha </w:t>
      </w:r>
      <w:proofErr w:type="spellStart"/>
      <w:r w:rsidRPr="001C7E0C">
        <w:rPr>
          <w:rFonts w:eastAsia="Times New Roman"/>
          <w:sz w:val="22"/>
          <w:szCs w:val="22"/>
        </w:rPr>
        <w:t>Rating</w:t>
      </w:r>
      <w:proofErr w:type="spellEnd"/>
      <w:r w:rsidRPr="001C7E0C">
        <w:rPr>
          <w:rFonts w:eastAsia="Times New Roman"/>
          <w:sz w:val="22"/>
          <w:szCs w:val="22"/>
        </w:rPr>
        <w:t xml:space="preserve"> </w:t>
      </w:r>
      <w:r w:rsidR="00485663" w:rsidRPr="001C7E0C">
        <w:rPr>
          <w:rFonts w:eastAsia="Times New Roman"/>
          <w:sz w:val="22"/>
          <w:szCs w:val="22"/>
        </w:rPr>
        <w:t>kurumsal yönetim derecelendirme notu 9,</w:t>
      </w:r>
      <w:r w:rsidRPr="001C7E0C">
        <w:rPr>
          <w:rFonts w:eastAsia="Times New Roman"/>
          <w:sz w:val="22"/>
          <w:szCs w:val="22"/>
        </w:rPr>
        <w:t>36</w:t>
      </w:r>
    </w:p>
    <w:tbl>
      <w:tblPr>
        <w:tblW w:w="9060" w:type="dxa"/>
        <w:tblInd w:w="6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80"/>
        <w:gridCol w:w="4480"/>
      </w:tblGrid>
      <w:tr w:rsidR="00DA14C8" w:rsidRPr="00E906A0" w:rsidTr="002848D2">
        <w:trPr>
          <w:trHeight w:val="315"/>
        </w:trPr>
        <w:tc>
          <w:tcPr>
            <w:tcW w:w="4580" w:type="dxa"/>
            <w:tcBorders>
              <w:left w:val="single" w:sz="8" w:space="0" w:color="DDD9C3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14C8" w:rsidRPr="00E906A0" w:rsidRDefault="00DA14C8" w:rsidP="006F6EF3">
            <w:pPr>
              <w:jc w:val="right"/>
              <w:rPr>
                <w:b/>
                <w:bCs/>
                <w:szCs w:val="20"/>
              </w:rPr>
            </w:pPr>
            <w:r w:rsidRPr="00E906A0">
              <w:rPr>
                <w:rFonts w:eastAsia="SimSun"/>
                <w:b/>
                <w:bCs/>
                <w:szCs w:val="20"/>
                <w:lang w:eastAsia="zh-CN"/>
              </w:rPr>
              <w:t>Kayıtlı Sermaye Tavanı</w:t>
            </w:r>
          </w:p>
        </w:tc>
        <w:tc>
          <w:tcPr>
            <w:tcW w:w="4480" w:type="dxa"/>
            <w:tcBorders>
              <w:left w:val="single" w:sz="4" w:space="0" w:color="auto"/>
              <w:right w:val="single" w:sz="8" w:space="0" w:color="DDD9C3"/>
            </w:tcBorders>
            <w:shd w:val="clear" w:color="000000" w:fill="EEECE1"/>
            <w:vAlign w:val="center"/>
            <w:hideMark/>
          </w:tcPr>
          <w:p w:rsidR="00DA14C8" w:rsidRPr="00E906A0" w:rsidRDefault="00DA14C8" w:rsidP="001D7DBC">
            <w:pPr>
              <w:ind w:firstLineChars="100" w:firstLine="240"/>
              <w:rPr>
                <w:szCs w:val="20"/>
              </w:rPr>
            </w:pPr>
            <w:r w:rsidRPr="00E906A0">
              <w:rPr>
                <w:szCs w:val="20"/>
              </w:rPr>
              <w:t xml:space="preserve">600 Milyon TL </w:t>
            </w:r>
          </w:p>
        </w:tc>
      </w:tr>
      <w:tr w:rsidR="00DA14C8" w:rsidRPr="00E906A0" w:rsidTr="006F6EF3">
        <w:trPr>
          <w:trHeight w:val="315"/>
        </w:trPr>
        <w:tc>
          <w:tcPr>
            <w:tcW w:w="4580" w:type="dxa"/>
            <w:tcBorders>
              <w:left w:val="single" w:sz="8" w:space="0" w:color="DDD9C3"/>
              <w:bottom w:val="single" w:sz="8" w:space="0" w:color="DDD9C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C8" w:rsidRPr="00E906A0" w:rsidRDefault="00DA14C8" w:rsidP="006F6EF3">
            <w:pPr>
              <w:jc w:val="right"/>
              <w:rPr>
                <w:b/>
                <w:bCs/>
                <w:szCs w:val="20"/>
              </w:rPr>
            </w:pPr>
            <w:r w:rsidRPr="00E906A0">
              <w:rPr>
                <w:rFonts w:eastAsia="SimSun"/>
                <w:b/>
                <w:bCs/>
                <w:szCs w:val="20"/>
                <w:lang w:eastAsia="zh-CN"/>
              </w:rPr>
              <w:t>Çıkarılmış Sermaye</w:t>
            </w:r>
          </w:p>
        </w:tc>
        <w:tc>
          <w:tcPr>
            <w:tcW w:w="4480" w:type="dxa"/>
            <w:tcBorders>
              <w:left w:val="single" w:sz="4" w:space="0" w:color="auto"/>
              <w:bottom w:val="single" w:sz="8" w:space="0" w:color="DDD9C3"/>
              <w:right w:val="single" w:sz="8" w:space="0" w:color="DDD9C3"/>
            </w:tcBorders>
            <w:shd w:val="clear" w:color="auto" w:fill="auto"/>
            <w:vAlign w:val="center"/>
            <w:hideMark/>
          </w:tcPr>
          <w:p w:rsidR="00DA14C8" w:rsidRPr="00E906A0" w:rsidRDefault="00DA14C8" w:rsidP="001D7DBC">
            <w:pPr>
              <w:ind w:firstLineChars="100" w:firstLine="240"/>
              <w:rPr>
                <w:szCs w:val="20"/>
              </w:rPr>
            </w:pPr>
            <w:r w:rsidRPr="00E906A0">
              <w:rPr>
                <w:szCs w:val="20"/>
              </w:rPr>
              <w:t xml:space="preserve">355 Milyon TL </w:t>
            </w:r>
          </w:p>
        </w:tc>
      </w:tr>
      <w:tr w:rsidR="00DA14C8" w:rsidRPr="00E906A0" w:rsidTr="006F6EF3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DDD9C3"/>
              <w:bottom w:val="single" w:sz="8" w:space="0" w:color="DDD9C3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14C8" w:rsidRPr="00E906A0" w:rsidRDefault="00DA14C8" w:rsidP="006F6EF3">
            <w:pPr>
              <w:jc w:val="right"/>
              <w:rPr>
                <w:b/>
                <w:bCs/>
                <w:szCs w:val="20"/>
              </w:rPr>
            </w:pPr>
            <w:r w:rsidRPr="00E906A0">
              <w:rPr>
                <w:rFonts w:eastAsia="SimSun"/>
                <w:b/>
                <w:bCs/>
                <w:szCs w:val="20"/>
                <w:lang w:eastAsia="zh-CN"/>
              </w:rPr>
              <w:t>Özkaynak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DDD9C3"/>
              <w:right w:val="single" w:sz="8" w:space="0" w:color="DDD9C3"/>
            </w:tcBorders>
            <w:shd w:val="clear" w:color="000000" w:fill="EEECE1"/>
            <w:vAlign w:val="center"/>
            <w:hideMark/>
          </w:tcPr>
          <w:p w:rsidR="00DA14C8" w:rsidRPr="00E906A0" w:rsidRDefault="00DA14C8" w:rsidP="001D7DBC">
            <w:pPr>
              <w:ind w:firstLineChars="100" w:firstLine="240"/>
              <w:rPr>
                <w:szCs w:val="20"/>
              </w:rPr>
            </w:pPr>
            <w:r w:rsidRPr="00E906A0">
              <w:rPr>
                <w:szCs w:val="20"/>
              </w:rPr>
              <w:t>5</w:t>
            </w:r>
            <w:r w:rsidR="00222BFC" w:rsidRPr="00E906A0">
              <w:rPr>
                <w:szCs w:val="20"/>
              </w:rPr>
              <w:t>60</w:t>
            </w:r>
            <w:r w:rsidRPr="00E906A0">
              <w:rPr>
                <w:szCs w:val="20"/>
              </w:rPr>
              <w:t xml:space="preserve"> Milyon TL </w:t>
            </w:r>
          </w:p>
        </w:tc>
      </w:tr>
      <w:tr w:rsidR="00DA14C8" w:rsidRPr="00E906A0" w:rsidTr="006F6EF3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DDD9C3"/>
              <w:bottom w:val="single" w:sz="8" w:space="0" w:color="DDD9C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C8" w:rsidRPr="00E906A0" w:rsidRDefault="00DA14C8" w:rsidP="006F6EF3">
            <w:pPr>
              <w:jc w:val="right"/>
              <w:rPr>
                <w:b/>
                <w:bCs/>
                <w:szCs w:val="20"/>
              </w:rPr>
            </w:pPr>
            <w:r w:rsidRPr="00E906A0">
              <w:rPr>
                <w:rFonts w:eastAsia="SimSun"/>
                <w:b/>
                <w:bCs/>
                <w:szCs w:val="20"/>
                <w:lang w:eastAsia="zh-CN"/>
              </w:rPr>
              <w:t>Aktif toplamı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DDD9C3"/>
              <w:right w:val="single" w:sz="8" w:space="0" w:color="DDD9C3"/>
            </w:tcBorders>
            <w:shd w:val="clear" w:color="auto" w:fill="auto"/>
            <w:vAlign w:val="center"/>
            <w:hideMark/>
          </w:tcPr>
          <w:p w:rsidR="00DA14C8" w:rsidRPr="00E906A0" w:rsidRDefault="00DA14C8" w:rsidP="002B7012">
            <w:pPr>
              <w:ind w:firstLineChars="100" w:firstLine="240"/>
              <w:rPr>
                <w:szCs w:val="20"/>
              </w:rPr>
            </w:pPr>
            <w:r w:rsidRPr="00E906A0">
              <w:rPr>
                <w:szCs w:val="20"/>
              </w:rPr>
              <w:t xml:space="preserve"> </w:t>
            </w:r>
            <w:r w:rsidR="002B7012">
              <w:rPr>
                <w:szCs w:val="20"/>
              </w:rPr>
              <w:t>6</w:t>
            </w:r>
            <w:r w:rsidRPr="00E906A0">
              <w:rPr>
                <w:szCs w:val="20"/>
              </w:rPr>
              <w:t>,</w:t>
            </w:r>
            <w:r w:rsidR="002B7012">
              <w:rPr>
                <w:szCs w:val="20"/>
              </w:rPr>
              <w:t>3</w:t>
            </w:r>
            <w:r w:rsidRPr="00E906A0">
              <w:rPr>
                <w:szCs w:val="20"/>
              </w:rPr>
              <w:t xml:space="preserve"> Milyar TL </w:t>
            </w:r>
          </w:p>
        </w:tc>
      </w:tr>
      <w:tr w:rsidR="00DA14C8" w:rsidRPr="00E906A0" w:rsidTr="006F6EF3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DDD9C3"/>
              <w:bottom w:val="single" w:sz="8" w:space="0" w:color="DDD9C3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14C8" w:rsidRPr="00E906A0" w:rsidRDefault="00DA14C8" w:rsidP="006F6EF3">
            <w:pPr>
              <w:jc w:val="right"/>
              <w:rPr>
                <w:b/>
                <w:bCs/>
                <w:szCs w:val="20"/>
              </w:rPr>
            </w:pPr>
            <w:r w:rsidRPr="00E906A0">
              <w:rPr>
                <w:rFonts w:eastAsia="SimSun"/>
                <w:b/>
                <w:bCs/>
                <w:szCs w:val="20"/>
                <w:lang w:eastAsia="zh-CN"/>
              </w:rPr>
              <w:t>Fiili Dolaşım Oranı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DDD9C3"/>
              <w:right w:val="single" w:sz="8" w:space="0" w:color="DDD9C3"/>
            </w:tcBorders>
            <w:shd w:val="clear" w:color="000000" w:fill="EEECE1"/>
            <w:vAlign w:val="center"/>
            <w:hideMark/>
          </w:tcPr>
          <w:p w:rsidR="00DA14C8" w:rsidRPr="00E906A0" w:rsidRDefault="00DA14C8" w:rsidP="001D7DBC">
            <w:pPr>
              <w:ind w:firstLineChars="100" w:firstLine="240"/>
              <w:rPr>
                <w:szCs w:val="20"/>
              </w:rPr>
            </w:pPr>
            <w:r w:rsidRPr="00E906A0">
              <w:rPr>
                <w:rFonts w:eastAsia="SimSun"/>
                <w:szCs w:val="20"/>
                <w:lang w:eastAsia="zh-CN"/>
              </w:rPr>
              <w:t>28%</w:t>
            </w:r>
          </w:p>
        </w:tc>
      </w:tr>
      <w:tr w:rsidR="00DA14C8" w:rsidRPr="00E906A0" w:rsidTr="006F6EF3">
        <w:trPr>
          <w:trHeight w:val="465"/>
        </w:trPr>
        <w:tc>
          <w:tcPr>
            <w:tcW w:w="4580" w:type="dxa"/>
            <w:tcBorders>
              <w:top w:val="nil"/>
              <w:left w:val="single" w:sz="8" w:space="0" w:color="DDD9C3"/>
              <w:bottom w:val="single" w:sz="8" w:space="0" w:color="DDD9C3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14C8" w:rsidRPr="00E906A0" w:rsidRDefault="00DA14C8" w:rsidP="006F6EF3">
            <w:pPr>
              <w:jc w:val="right"/>
              <w:rPr>
                <w:b/>
                <w:bCs/>
                <w:szCs w:val="20"/>
              </w:rPr>
            </w:pPr>
            <w:r w:rsidRPr="00E906A0">
              <w:rPr>
                <w:rFonts w:eastAsia="SimSun"/>
                <w:b/>
                <w:bCs/>
                <w:szCs w:val="20"/>
                <w:lang w:eastAsia="zh-CN"/>
              </w:rPr>
              <w:t>Şubeler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DDD9C3"/>
              <w:right w:val="single" w:sz="8" w:space="0" w:color="DDD9C3"/>
            </w:tcBorders>
            <w:shd w:val="clear" w:color="000000" w:fill="EEECE1"/>
            <w:vAlign w:val="center"/>
            <w:hideMark/>
          </w:tcPr>
          <w:p w:rsidR="00DA14C8" w:rsidRPr="00E906A0" w:rsidRDefault="006F6EF3" w:rsidP="006F6EF3">
            <w:pPr>
              <w:ind w:left="236" w:hanging="236"/>
              <w:rPr>
                <w:rFonts w:eastAsia="SimSun"/>
                <w:szCs w:val="20"/>
                <w:lang w:eastAsia="zh-CN"/>
              </w:rPr>
            </w:pPr>
            <w:r>
              <w:rPr>
                <w:rFonts w:eastAsia="SimSun"/>
                <w:szCs w:val="20"/>
                <w:lang w:eastAsia="zh-CN"/>
              </w:rPr>
              <w:t xml:space="preserve">    </w:t>
            </w:r>
            <w:r w:rsidR="00DA14C8" w:rsidRPr="00E906A0">
              <w:rPr>
                <w:rFonts w:eastAsia="SimSun"/>
                <w:szCs w:val="20"/>
                <w:lang w:eastAsia="zh-CN"/>
              </w:rPr>
              <w:t xml:space="preserve">Adana, Ankara, Antalya, Bursa, İzmir ve </w:t>
            </w:r>
            <w:r>
              <w:rPr>
                <w:rFonts w:eastAsia="SimSun"/>
                <w:szCs w:val="20"/>
                <w:lang w:eastAsia="zh-CN"/>
              </w:rPr>
              <w:t xml:space="preserve">                  </w:t>
            </w:r>
            <w:r w:rsidR="00DA14C8" w:rsidRPr="00E906A0">
              <w:rPr>
                <w:rFonts w:eastAsia="SimSun"/>
                <w:szCs w:val="20"/>
                <w:lang w:eastAsia="zh-CN"/>
              </w:rPr>
              <w:t>İstanbul</w:t>
            </w:r>
            <w:r w:rsidR="00D007EC">
              <w:rPr>
                <w:rFonts w:eastAsia="SimSun"/>
                <w:szCs w:val="20"/>
                <w:lang w:eastAsia="zh-CN"/>
              </w:rPr>
              <w:t xml:space="preserve"> </w:t>
            </w:r>
            <w:r w:rsidR="00DA14C8" w:rsidRPr="00E906A0">
              <w:rPr>
                <w:rFonts w:eastAsia="SimSun"/>
                <w:szCs w:val="20"/>
                <w:lang w:eastAsia="zh-CN"/>
              </w:rPr>
              <w:t>(Akaretler, Kalamış, Levent, Maslak, Suadiye Yeniköy, Yeşilköy),</w:t>
            </w:r>
          </w:p>
        </w:tc>
      </w:tr>
      <w:tr w:rsidR="00DA14C8" w:rsidRPr="00E906A0" w:rsidTr="006F6EF3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DDD9C3"/>
              <w:bottom w:val="single" w:sz="8" w:space="0" w:color="DDD9C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C8" w:rsidRPr="00E906A0" w:rsidRDefault="00DA14C8" w:rsidP="006F6EF3">
            <w:pPr>
              <w:jc w:val="right"/>
              <w:rPr>
                <w:b/>
                <w:bCs/>
                <w:szCs w:val="20"/>
              </w:rPr>
            </w:pPr>
            <w:r w:rsidRPr="00E906A0">
              <w:rPr>
                <w:rFonts w:eastAsia="SimSun"/>
                <w:b/>
                <w:bCs/>
                <w:szCs w:val="20"/>
                <w:lang w:eastAsia="zh-CN"/>
              </w:rPr>
              <w:t>İrtibat büroları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DDD9C3"/>
              <w:right w:val="single" w:sz="8" w:space="0" w:color="DDD9C3"/>
            </w:tcBorders>
            <w:shd w:val="clear" w:color="auto" w:fill="auto"/>
            <w:vAlign w:val="center"/>
            <w:hideMark/>
          </w:tcPr>
          <w:p w:rsidR="00DA14C8" w:rsidRPr="00E906A0" w:rsidRDefault="00DA14C8" w:rsidP="006F6EF3">
            <w:pPr>
              <w:ind w:left="236"/>
              <w:rPr>
                <w:szCs w:val="20"/>
              </w:rPr>
            </w:pPr>
            <w:r w:rsidRPr="00E906A0">
              <w:rPr>
                <w:rFonts w:eastAsia="SimSun"/>
                <w:szCs w:val="20"/>
                <w:lang w:eastAsia="zh-CN"/>
              </w:rPr>
              <w:t xml:space="preserve">Diyarbakır, </w:t>
            </w:r>
            <w:proofErr w:type="spellStart"/>
            <w:r w:rsidRPr="00E906A0">
              <w:rPr>
                <w:rFonts w:eastAsia="SimSun"/>
                <w:szCs w:val="20"/>
                <w:lang w:eastAsia="zh-CN"/>
              </w:rPr>
              <w:t>Almaata</w:t>
            </w:r>
            <w:proofErr w:type="spellEnd"/>
            <w:r w:rsidRPr="00E906A0">
              <w:rPr>
                <w:rFonts w:eastAsia="SimSun"/>
                <w:szCs w:val="20"/>
                <w:lang w:eastAsia="zh-CN"/>
              </w:rPr>
              <w:t xml:space="preserve"> (Kazakistan)</w:t>
            </w:r>
          </w:p>
        </w:tc>
      </w:tr>
      <w:tr w:rsidR="00DA14C8" w:rsidRPr="00E906A0" w:rsidTr="006F6EF3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DDD9C3"/>
              <w:bottom w:val="single" w:sz="8" w:space="0" w:color="DDD9C3"/>
              <w:right w:val="single" w:sz="4" w:space="0" w:color="auto"/>
            </w:tcBorders>
            <w:shd w:val="clear" w:color="000000" w:fill="EEECE1"/>
            <w:vAlign w:val="center"/>
          </w:tcPr>
          <w:p w:rsidR="00DA14C8" w:rsidRPr="00E906A0" w:rsidRDefault="00DA14C8" w:rsidP="001D7DBC">
            <w:pPr>
              <w:rPr>
                <w:b/>
                <w:bCs/>
                <w:sz w:val="22"/>
                <w:szCs w:val="20"/>
              </w:rPr>
            </w:pP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DDD9C3"/>
              <w:right w:val="single" w:sz="8" w:space="0" w:color="DDD9C3"/>
            </w:tcBorders>
            <w:shd w:val="clear" w:color="000000" w:fill="EEECE1"/>
            <w:vAlign w:val="center"/>
          </w:tcPr>
          <w:p w:rsidR="00DA14C8" w:rsidRPr="00E906A0" w:rsidRDefault="00DA14C8" w:rsidP="001D7DBC">
            <w:pPr>
              <w:ind w:firstLineChars="100" w:firstLine="220"/>
              <w:rPr>
                <w:sz w:val="22"/>
                <w:szCs w:val="20"/>
              </w:rPr>
            </w:pPr>
          </w:p>
        </w:tc>
      </w:tr>
      <w:tr w:rsidR="00DA14C8" w:rsidRPr="00E906A0" w:rsidTr="006F6EF3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DDD9C3"/>
              <w:bottom w:val="single" w:sz="8" w:space="0" w:color="DDD9C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C8" w:rsidRPr="00E906A0" w:rsidRDefault="00DA14C8" w:rsidP="001D7DBC">
            <w:pPr>
              <w:ind w:firstLineChars="100" w:firstLine="221"/>
              <w:jc w:val="right"/>
              <w:rPr>
                <w:b/>
                <w:bCs/>
                <w:sz w:val="22"/>
                <w:szCs w:val="20"/>
              </w:rPr>
            </w:pPr>
            <w:r w:rsidRPr="00E906A0">
              <w:rPr>
                <w:rFonts w:eastAsia="SimSun"/>
                <w:b/>
                <w:bCs/>
                <w:sz w:val="22"/>
                <w:szCs w:val="20"/>
                <w:lang w:eastAsia="zh-CN"/>
              </w:rPr>
              <w:t xml:space="preserve">Ortaklık yapısı 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DDD9C3"/>
              <w:right w:val="single" w:sz="8" w:space="0" w:color="DDD9C3"/>
            </w:tcBorders>
            <w:shd w:val="clear" w:color="auto" w:fill="auto"/>
            <w:vAlign w:val="center"/>
            <w:hideMark/>
          </w:tcPr>
          <w:p w:rsidR="00DA14C8" w:rsidRPr="00E906A0" w:rsidRDefault="00DA14C8" w:rsidP="001D7DBC">
            <w:pPr>
              <w:ind w:firstLineChars="100" w:firstLine="220"/>
              <w:rPr>
                <w:sz w:val="22"/>
                <w:szCs w:val="20"/>
              </w:rPr>
            </w:pPr>
          </w:p>
        </w:tc>
      </w:tr>
      <w:tr w:rsidR="00DA14C8" w:rsidRPr="00E906A0" w:rsidTr="006F6EF3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DDD9C3"/>
              <w:bottom w:val="single" w:sz="8" w:space="0" w:color="DDD9C3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14C8" w:rsidRPr="00E906A0" w:rsidRDefault="00DA14C8" w:rsidP="001D7DBC">
            <w:pPr>
              <w:ind w:firstLineChars="100" w:firstLine="220"/>
              <w:jc w:val="right"/>
              <w:rPr>
                <w:sz w:val="22"/>
                <w:szCs w:val="20"/>
              </w:rPr>
            </w:pPr>
            <w:r w:rsidRPr="00E906A0">
              <w:rPr>
                <w:rFonts w:eastAsia="SimSun"/>
                <w:sz w:val="22"/>
                <w:szCs w:val="20"/>
                <w:lang w:eastAsia="zh-CN"/>
              </w:rPr>
              <w:t>Türkiye İş Bankası A.Ş.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DDD9C3"/>
              <w:right w:val="single" w:sz="8" w:space="0" w:color="DDD9C3"/>
            </w:tcBorders>
            <w:shd w:val="clear" w:color="000000" w:fill="EEECE1"/>
            <w:vAlign w:val="center"/>
            <w:hideMark/>
          </w:tcPr>
          <w:p w:rsidR="00DA14C8" w:rsidRPr="00E906A0" w:rsidRDefault="00DA14C8" w:rsidP="001D7DBC">
            <w:pPr>
              <w:ind w:firstLineChars="100" w:firstLine="220"/>
              <w:rPr>
                <w:sz w:val="22"/>
                <w:szCs w:val="20"/>
              </w:rPr>
            </w:pPr>
            <w:r w:rsidRPr="00E906A0">
              <w:rPr>
                <w:rFonts w:eastAsia="SimSun"/>
                <w:sz w:val="22"/>
                <w:szCs w:val="20"/>
                <w:lang w:eastAsia="zh-CN"/>
              </w:rPr>
              <w:t>66,75%</w:t>
            </w:r>
          </w:p>
        </w:tc>
      </w:tr>
      <w:tr w:rsidR="00DA14C8" w:rsidRPr="00E906A0" w:rsidTr="006F6EF3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DDD9C3"/>
              <w:bottom w:val="single" w:sz="8" w:space="0" w:color="DDD9C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C8" w:rsidRPr="00E906A0" w:rsidRDefault="00DA14C8" w:rsidP="001D7DBC">
            <w:pPr>
              <w:ind w:firstLineChars="100" w:firstLine="220"/>
              <w:jc w:val="right"/>
              <w:rPr>
                <w:sz w:val="22"/>
                <w:szCs w:val="20"/>
              </w:rPr>
            </w:pPr>
            <w:r w:rsidRPr="00E906A0">
              <w:rPr>
                <w:rFonts w:eastAsia="SimSun"/>
                <w:sz w:val="22"/>
                <w:szCs w:val="20"/>
                <w:lang w:eastAsia="zh-CN"/>
              </w:rPr>
              <w:t xml:space="preserve">İş </w:t>
            </w:r>
            <w:proofErr w:type="spellStart"/>
            <w:r w:rsidRPr="00E906A0">
              <w:rPr>
                <w:rFonts w:eastAsia="SimSun"/>
                <w:sz w:val="22"/>
                <w:szCs w:val="20"/>
                <w:lang w:eastAsia="zh-CN"/>
              </w:rPr>
              <w:t>Faktoring</w:t>
            </w:r>
            <w:proofErr w:type="spellEnd"/>
            <w:r w:rsidRPr="00E906A0">
              <w:rPr>
                <w:rFonts w:eastAsia="SimSun"/>
                <w:sz w:val="22"/>
                <w:szCs w:val="20"/>
                <w:lang w:eastAsia="zh-CN"/>
              </w:rPr>
              <w:t xml:space="preserve"> A.Ş.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DDD9C3"/>
              <w:right w:val="single" w:sz="8" w:space="0" w:color="DDD9C3"/>
            </w:tcBorders>
            <w:shd w:val="clear" w:color="auto" w:fill="auto"/>
            <w:vAlign w:val="center"/>
            <w:hideMark/>
          </w:tcPr>
          <w:p w:rsidR="00DA14C8" w:rsidRPr="00E906A0" w:rsidRDefault="00DA14C8" w:rsidP="001D7DBC">
            <w:pPr>
              <w:ind w:firstLineChars="100" w:firstLine="220"/>
              <w:rPr>
                <w:sz w:val="22"/>
                <w:szCs w:val="20"/>
              </w:rPr>
            </w:pPr>
            <w:r w:rsidRPr="00E906A0">
              <w:rPr>
                <w:rFonts w:eastAsia="SimSun"/>
                <w:sz w:val="22"/>
                <w:szCs w:val="20"/>
                <w:lang w:eastAsia="zh-CN"/>
              </w:rPr>
              <w:t xml:space="preserve">  2,43%</w:t>
            </w:r>
          </w:p>
        </w:tc>
      </w:tr>
      <w:tr w:rsidR="00DA14C8" w:rsidRPr="00E906A0" w:rsidTr="006F6EF3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DDD9C3"/>
              <w:bottom w:val="single" w:sz="8" w:space="0" w:color="DDD9C3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14C8" w:rsidRPr="00E906A0" w:rsidRDefault="00DA14C8" w:rsidP="001D7DBC">
            <w:pPr>
              <w:ind w:firstLineChars="100" w:firstLine="220"/>
              <w:jc w:val="right"/>
              <w:rPr>
                <w:sz w:val="22"/>
                <w:szCs w:val="20"/>
              </w:rPr>
            </w:pPr>
            <w:r w:rsidRPr="00E906A0">
              <w:rPr>
                <w:rFonts w:eastAsia="SimSun"/>
                <w:sz w:val="22"/>
                <w:szCs w:val="20"/>
                <w:lang w:eastAsia="zh-CN"/>
              </w:rPr>
              <w:t>İş Finansal Kiralama A.Ş.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DDD9C3"/>
              <w:right w:val="single" w:sz="8" w:space="0" w:color="DDD9C3"/>
            </w:tcBorders>
            <w:shd w:val="clear" w:color="000000" w:fill="EEECE1"/>
            <w:vAlign w:val="center"/>
            <w:hideMark/>
          </w:tcPr>
          <w:p w:rsidR="00DA14C8" w:rsidRPr="00E906A0" w:rsidRDefault="00DA14C8" w:rsidP="001D7DBC">
            <w:pPr>
              <w:ind w:firstLineChars="100" w:firstLine="220"/>
              <w:rPr>
                <w:sz w:val="22"/>
                <w:szCs w:val="20"/>
              </w:rPr>
            </w:pPr>
            <w:r w:rsidRPr="00E906A0">
              <w:rPr>
                <w:rFonts w:eastAsia="SimSun"/>
                <w:sz w:val="22"/>
                <w:szCs w:val="20"/>
                <w:lang w:eastAsia="zh-CN"/>
              </w:rPr>
              <w:t xml:space="preserve">  2,43%</w:t>
            </w:r>
          </w:p>
        </w:tc>
      </w:tr>
      <w:tr w:rsidR="00DA14C8" w:rsidRPr="00E906A0" w:rsidTr="006F6EF3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DDD9C3"/>
              <w:bottom w:val="single" w:sz="8" w:space="0" w:color="DDD9C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C8" w:rsidRPr="00E906A0" w:rsidRDefault="00DA14C8" w:rsidP="001D7DBC">
            <w:pPr>
              <w:ind w:firstLineChars="100" w:firstLine="220"/>
              <w:jc w:val="right"/>
              <w:rPr>
                <w:sz w:val="22"/>
                <w:szCs w:val="20"/>
              </w:rPr>
            </w:pPr>
            <w:proofErr w:type="spellStart"/>
            <w:r w:rsidRPr="00E906A0">
              <w:rPr>
                <w:rFonts w:eastAsia="SimSun"/>
                <w:sz w:val="22"/>
                <w:szCs w:val="20"/>
                <w:lang w:eastAsia="zh-CN"/>
              </w:rPr>
              <w:t>Camiş</w:t>
            </w:r>
            <w:proofErr w:type="spellEnd"/>
            <w:r w:rsidRPr="00E906A0">
              <w:rPr>
                <w:rFonts w:eastAsia="SimSun"/>
                <w:sz w:val="22"/>
                <w:szCs w:val="20"/>
                <w:lang w:eastAsia="zh-CN"/>
              </w:rPr>
              <w:t xml:space="preserve"> Yatırım Holding A.Ş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DDD9C3"/>
              <w:right w:val="single" w:sz="8" w:space="0" w:color="DDD9C3"/>
            </w:tcBorders>
            <w:shd w:val="clear" w:color="auto" w:fill="auto"/>
            <w:vAlign w:val="center"/>
            <w:hideMark/>
          </w:tcPr>
          <w:p w:rsidR="00DA14C8" w:rsidRPr="00E906A0" w:rsidRDefault="00DA14C8" w:rsidP="001D7DBC">
            <w:pPr>
              <w:ind w:firstLineChars="100" w:firstLine="220"/>
              <w:rPr>
                <w:sz w:val="22"/>
                <w:szCs w:val="20"/>
              </w:rPr>
            </w:pPr>
            <w:r w:rsidRPr="00E906A0">
              <w:rPr>
                <w:rFonts w:eastAsia="SimSun"/>
                <w:sz w:val="22"/>
                <w:szCs w:val="20"/>
                <w:lang w:eastAsia="zh-CN"/>
              </w:rPr>
              <w:t xml:space="preserve">  0,17%</w:t>
            </w:r>
          </w:p>
        </w:tc>
      </w:tr>
      <w:tr w:rsidR="00DA14C8" w:rsidRPr="00E906A0" w:rsidTr="006F6EF3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DDD9C3"/>
              <w:bottom w:val="single" w:sz="8" w:space="0" w:color="DDD9C3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14C8" w:rsidRPr="00E906A0" w:rsidRDefault="00DA14C8" w:rsidP="001D7DBC">
            <w:pPr>
              <w:ind w:firstLineChars="100" w:firstLine="220"/>
              <w:jc w:val="right"/>
              <w:rPr>
                <w:sz w:val="22"/>
                <w:szCs w:val="20"/>
              </w:rPr>
            </w:pPr>
            <w:r w:rsidRPr="00E906A0">
              <w:rPr>
                <w:rFonts w:eastAsia="SimSun"/>
                <w:sz w:val="22"/>
                <w:szCs w:val="20"/>
                <w:lang w:eastAsia="zh-CN"/>
              </w:rPr>
              <w:t>Halka açık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DDD9C3"/>
              <w:right w:val="single" w:sz="8" w:space="0" w:color="DDD9C3"/>
            </w:tcBorders>
            <w:shd w:val="clear" w:color="000000" w:fill="EEECE1"/>
            <w:vAlign w:val="center"/>
            <w:hideMark/>
          </w:tcPr>
          <w:p w:rsidR="00DA14C8" w:rsidRPr="00E906A0" w:rsidRDefault="00DA14C8" w:rsidP="001D7DBC">
            <w:pPr>
              <w:ind w:firstLineChars="100" w:firstLine="220"/>
              <w:rPr>
                <w:sz w:val="22"/>
                <w:szCs w:val="20"/>
              </w:rPr>
            </w:pPr>
            <w:r w:rsidRPr="00E906A0">
              <w:rPr>
                <w:rFonts w:eastAsia="SimSun"/>
                <w:sz w:val="22"/>
                <w:szCs w:val="20"/>
                <w:lang w:eastAsia="zh-CN"/>
              </w:rPr>
              <w:t>28,22%</w:t>
            </w:r>
          </w:p>
        </w:tc>
      </w:tr>
      <w:tr w:rsidR="00DA14C8" w:rsidRPr="00E906A0" w:rsidTr="006F6EF3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DDD9C3"/>
              <w:bottom w:val="single" w:sz="8" w:space="0" w:color="DDD9C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C8" w:rsidRPr="00E906A0" w:rsidRDefault="00DA14C8" w:rsidP="001D7DBC">
            <w:pPr>
              <w:ind w:firstLineChars="100" w:firstLine="221"/>
              <w:jc w:val="right"/>
              <w:rPr>
                <w:sz w:val="22"/>
                <w:szCs w:val="20"/>
              </w:rPr>
            </w:pPr>
            <w:r w:rsidRPr="00E906A0">
              <w:rPr>
                <w:rFonts w:eastAsia="SimSun"/>
                <w:b/>
                <w:bCs/>
                <w:sz w:val="22"/>
                <w:szCs w:val="20"/>
                <w:lang w:eastAsia="zh-CN"/>
              </w:rPr>
              <w:t>İştirakler(*)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DDD9C3"/>
              <w:right w:val="single" w:sz="8" w:space="0" w:color="DDD9C3"/>
            </w:tcBorders>
            <w:shd w:val="clear" w:color="auto" w:fill="auto"/>
            <w:vAlign w:val="center"/>
            <w:hideMark/>
          </w:tcPr>
          <w:p w:rsidR="00DA14C8" w:rsidRPr="00E906A0" w:rsidRDefault="00DA14C8" w:rsidP="001D7DBC">
            <w:pPr>
              <w:ind w:firstLineChars="100" w:firstLine="221"/>
              <w:rPr>
                <w:sz w:val="22"/>
                <w:szCs w:val="20"/>
              </w:rPr>
            </w:pPr>
            <w:r w:rsidRPr="00E906A0">
              <w:rPr>
                <w:rFonts w:eastAsia="SimSun"/>
                <w:b/>
                <w:bCs/>
                <w:sz w:val="22"/>
                <w:szCs w:val="20"/>
                <w:lang w:eastAsia="zh-CN"/>
              </w:rPr>
              <w:t xml:space="preserve">İş Yatırım Payı </w:t>
            </w:r>
          </w:p>
        </w:tc>
      </w:tr>
      <w:tr w:rsidR="00DA14C8" w:rsidRPr="00E906A0" w:rsidTr="006F6EF3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DDD9C3"/>
              <w:bottom w:val="single" w:sz="8" w:space="0" w:color="DDD9C3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DA14C8" w:rsidRPr="00E906A0" w:rsidRDefault="00DA14C8" w:rsidP="001D7DBC">
            <w:pPr>
              <w:ind w:firstLineChars="100" w:firstLine="220"/>
              <w:jc w:val="right"/>
              <w:rPr>
                <w:b/>
                <w:bCs/>
                <w:sz w:val="22"/>
                <w:szCs w:val="20"/>
              </w:rPr>
            </w:pPr>
            <w:proofErr w:type="spellStart"/>
            <w:r w:rsidRPr="00E906A0">
              <w:rPr>
                <w:rFonts w:eastAsia="SimSun"/>
                <w:sz w:val="22"/>
                <w:szCs w:val="20"/>
                <w:lang w:eastAsia="zh-CN"/>
              </w:rPr>
              <w:t>Maxis</w:t>
            </w:r>
            <w:proofErr w:type="spellEnd"/>
            <w:r w:rsidRPr="00E906A0">
              <w:rPr>
                <w:rFonts w:eastAsia="SimSun"/>
                <w:sz w:val="22"/>
                <w:szCs w:val="20"/>
                <w:lang w:eastAsia="zh-CN"/>
              </w:rPr>
              <w:t xml:space="preserve"> </w:t>
            </w:r>
            <w:proofErr w:type="spellStart"/>
            <w:r w:rsidRPr="00E906A0">
              <w:rPr>
                <w:rFonts w:eastAsia="SimSun"/>
                <w:sz w:val="22"/>
                <w:szCs w:val="20"/>
                <w:lang w:eastAsia="zh-CN"/>
              </w:rPr>
              <w:t>Investments</w:t>
            </w:r>
            <w:proofErr w:type="spellEnd"/>
            <w:r w:rsidRPr="00E906A0">
              <w:rPr>
                <w:rFonts w:eastAsia="SimSun"/>
                <w:sz w:val="22"/>
                <w:szCs w:val="20"/>
                <w:lang w:eastAsia="zh-CN"/>
              </w:rPr>
              <w:t xml:space="preserve"> Limited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DDD9C3"/>
              <w:right w:val="single" w:sz="8" w:space="0" w:color="DDD9C3"/>
            </w:tcBorders>
            <w:shd w:val="clear" w:color="000000" w:fill="EEECE1"/>
            <w:vAlign w:val="center"/>
            <w:hideMark/>
          </w:tcPr>
          <w:p w:rsidR="00DA14C8" w:rsidRPr="00E906A0" w:rsidRDefault="00A447E6" w:rsidP="001D7DBC">
            <w:pPr>
              <w:ind w:firstLineChars="100" w:firstLine="220"/>
              <w:rPr>
                <w:b/>
                <w:bCs/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  <w:lang w:eastAsia="zh-CN"/>
              </w:rPr>
              <w:t>100</w:t>
            </w:r>
            <w:r w:rsidR="00DA14C8" w:rsidRPr="00E906A0">
              <w:rPr>
                <w:rFonts w:eastAsia="SimSun"/>
                <w:sz w:val="22"/>
                <w:szCs w:val="20"/>
                <w:lang w:eastAsia="zh-CN"/>
              </w:rPr>
              <w:t>%</w:t>
            </w:r>
          </w:p>
        </w:tc>
      </w:tr>
      <w:tr w:rsidR="00DA14C8" w:rsidRPr="00E906A0" w:rsidTr="006F6EF3">
        <w:trPr>
          <w:trHeight w:val="315"/>
        </w:trPr>
        <w:tc>
          <w:tcPr>
            <w:tcW w:w="4580" w:type="dxa"/>
            <w:tcBorders>
              <w:top w:val="single" w:sz="8" w:space="0" w:color="DDD9C3"/>
              <w:left w:val="single" w:sz="8" w:space="0" w:color="DDD9C3"/>
              <w:bottom w:val="single" w:sz="8" w:space="0" w:color="DDD9C3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4C8" w:rsidRPr="00E906A0" w:rsidRDefault="00DA14C8" w:rsidP="001D7DBC">
            <w:pPr>
              <w:ind w:firstLineChars="100" w:firstLine="220"/>
              <w:jc w:val="right"/>
              <w:rPr>
                <w:rFonts w:eastAsia="SimSun"/>
                <w:sz w:val="22"/>
                <w:szCs w:val="20"/>
                <w:lang w:eastAsia="zh-CN"/>
              </w:rPr>
            </w:pPr>
            <w:r w:rsidRPr="00E906A0">
              <w:rPr>
                <w:sz w:val="22"/>
                <w:szCs w:val="20"/>
              </w:rPr>
              <w:t xml:space="preserve">Efes Varlık Yönetim A.Ş. </w:t>
            </w:r>
          </w:p>
        </w:tc>
        <w:tc>
          <w:tcPr>
            <w:tcW w:w="4480" w:type="dxa"/>
            <w:tcBorders>
              <w:top w:val="single" w:sz="8" w:space="0" w:color="DDD9C3"/>
              <w:left w:val="single" w:sz="4" w:space="0" w:color="auto"/>
              <w:bottom w:val="single" w:sz="8" w:space="0" w:color="DDD9C3"/>
              <w:right w:val="single" w:sz="8" w:space="0" w:color="DDD9C3"/>
            </w:tcBorders>
            <w:shd w:val="clear" w:color="auto" w:fill="auto"/>
            <w:vAlign w:val="center"/>
            <w:hideMark/>
          </w:tcPr>
          <w:p w:rsidR="00DA14C8" w:rsidRPr="00E906A0" w:rsidRDefault="00A447E6" w:rsidP="001D7DBC">
            <w:pPr>
              <w:ind w:firstLineChars="100" w:firstLine="220"/>
              <w:rPr>
                <w:rFonts w:eastAsia="SimSun"/>
                <w:sz w:val="22"/>
                <w:szCs w:val="20"/>
                <w:lang w:eastAsia="zh-CN"/>
              </w:rPr>
            </w:pPr>
            <w:r>
              <w:rPr>
                <w:sz w:val="22"/>
                <w:szCs w:val="20"/>
              </w:rPr>
              <w:t xml:space="preserve">  74</w:t>
            </w:r>
            <w:r w:rsidR="00DA14C8" w:rsidRPr="00E906A0">
              <w:rPr>
                <w:sz w:val="22"/>
                <w:szCs w:val="20"/>
              </w:rPr>
              <w:t>%</w:t>
            </w:r>
          </w:p>
        </w:tc>
      </w:tr>
      <w:tr w:rsidR="00DA14C8" w:rsidRPr="00E906A0" w:rsidTr="006F6EF3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DDD9C3"/>
              <w:bottom w:val="single" w:sz="8" w:space="0" w:color="DDD9C3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DA14C8" w:rsidRPr="00E906A0" w:rsidRDefault="00DA14C8" w:rsidP="001D7DBC">
            <w:pPr>
              <w:ind w:firstLineChars="100" w:firstLine="220"/>
              <w:jc w:val="right"/>
              <w:rPr>
                <w:sz w:val="22"/>
                <w:szCs w:val="20"/>
              </w:rPr>
            </w:pPr>
            <w:r w:rsidRPr="00E906A0">
              <w:rPr>
                <w:rFonts w:eastAsia="SimSun"/>
                <w:sz w:val="22"/>
                <w:szCs w:val="20"/>
                <w:lang w:eastAsia="zh-CN"/>
              </w:rPr>
              <w:t>İş Portföy Yönetimi A.Ş.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DDD9C3"/>
              <w:right w:val="single" w:sz="8" w:space="0" w:color="DDD9C3"/>
            </w:tcBorders>
            <w:shd w:val="clear" w:color="auto" w:fill="EEECE1"/>
            <w:vAlign w:val="center"/>
            <w:hideMark/>
          </w:tcPr>
          <w:p w:rsidR="00DA14C8" w:rsidRPr="00E906A0" w:rsidRDefault="00A447E6" w:rsidP="001D7DBC">
            <w:pPr>
              <w:ind w:firstLineChars="100" w:firstLine="220"/>
              <w:rPr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  <w:lang w:eastAsia="zh-CN"/>
              </w:rPr>
              <w:t xml:space="preserve">  70</w:t>
            </w:r>
            <w:r w:rsidR="00DA14C8" w:rsidRPr="00E906A0">
              <w:rPr>
                <w:rFonts w:eastAsia="SimSun"/>
                <w:sz w:val="22"/>
                <w:szCs w:val="20"/>
                <w:lang w:eastAsia="zh-CN"/>
              </w:rPr>
              <w:t>%</w:t>
            </w:r>
          </w:p>
        </w:tc>
      </w:tr>
      <w:tr w:rsidR="00DA14C8" w:rsidRPr="00E906A0" w:rsidTr="006F6EF3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DDD9C3"/>
              <w:bottom w:val="single" w:sz="8" w:space="0" w:color="DDD9C3"/>
              <w:right w:val="single" w:sz="4" w:space="0" w:color="auto"/>
            </w:tcBorders>
            <w:shd w:val="clear" w:color="auto" w:fill="auto"/>
            <w:vAlign w:val="center"/>
          </w:tcPr>
          <w:p w:rsidR="00DA14C8" w:rsidRPr="00E906A0" w:rsidRDefault="00DA14C8" w:rsidP="001D7DBC">
            <w:pPr>
              <w:ind w:firstLineChars="100" w:firstLine="220"/>
              <w:jc w:val="right"/>
              <w:rPr>
                <w:sz w:val="22"/>
                <w:szCs w:val="20"/>
              </w:rPr>
            </w:pPr>
            <w:r w:rsidRPr="00E906A0">
              <w:rPr>
                <w:rFonts w:eastAsia="SimSun"/>
                <w:sz w:val="22"/>
                <w:szCs w:val="20"/>
                <w:lang w:eastAsia="zh-CN"/>
              </w:rPr>
              <w:t>İş Girişim Sermayesi Yatırım Ortaklığı A.Ş.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DDD9C3"/>
              <w:right w:val="single" w:sz="8" w:space="0" w:color="DDD9C3"/>
            </w:tcBorders>
            <w:shd w:val="clear" w:color="auto" w:fill="auto"/>
            <w:vAlign w:val="center"/>
          </w:tcPr>
          <w:p w:rsidR="00DA14C8" w:rsidRPr="00E906A0" w:rsidRDefault="00A447E6" w:rsidP="00A447E6">
            <w:pPr>
              <w:ind w:firstLineChars="100" w:firstLine="220"/>
              <w:rPr>
                <w:sz w:val="22"/>
                <w:szCs w:val="20"/>
              </w:rPr>
            </w:pPr>
            <w:r>
              <w:rPr>
                <w:rFonts w:eastAsia="SimSun"/>
                <w:sz w:val="22"/>
                <w:szCs w:val="20"/>
                <w:lang w:eastAsia="zh-CN"/>
              </w:rPr>
              <w:t xml:space="preserve">  29</w:t>
            </w:r>
            <w:r w:rsidR="00DA14C8" w:rsidRPr="00E906A0">
              <w:rPr>
                <w:rFonts w:eastAsia="SimSun"/>
                <w:sz w:val="22"/>
                <w:szCs w:val="20"/>
                <w:lang w:eastAsia="zh-CN"/>
              </w:rPr>
              <w:t xml:space="preserve">% </w:t>
            </w:r>
          </w:p>
        </w:tc>
      </w:tr>
      <w:tr w:rsidR="00DA14C8" w:rsidRPr="00E906A0" w:rsidTr="006F6EF3">
        <w:trPr>
          <w:trHeight w:val="315"/>
        </w:trPr>
        <w:tc>
          <w:tcPr>
            <w:tcW w:w="4580" w:type="dxa"/>
            <w:tcBorders>
              <w:top w:val="nil"/>
              <w:left w:val="single" w:sz="8" w:space="0" w:color="DDD9C3"/>
              <w:bottom w:val="single" w:sz="8" w:space="0" w:color="DDD9C3"/>
              <w:right w:val="single" w:sz="4" w:space="0" w:color="auto"/>
            </w:tcBorders>
            <w:shd w:val="clear" w:color="auto" w:fill="EEECE1"/>
            <w:vAlign w:val="center"/>
          </w:tcPr>
          <w:p w:rsidR="00DA14C8" w:rsidRPr="00E906A0" w:rsidRDefault="00DA14C8" w:rsidP="001D7DBC">
            <w:pPr>
              <w:ind w:firstLineChars="100" w:firstLine="220"/>
              <w:jc w:val="right"/>
              <w:rPr>
                <w:sz w:val="22"/>
                <w:szCs w:val="20"/>
              </w:rPr>
            </w:pPr>
            <w:r w:rsidRPr="00E906A0">
              <w:rPr>
                <w:rFonts w:eastAsia="SimSun"/>
                <w:sz w:val="22"/>
                <w:szCs w:val="20"/>
                <w:lang w:eastAsia="zh-CN"/>
              </w:rPr>
              <w:t>İş Yatırım Ortaklığı A.Ş.</w:t>
            </w:r>
          </w:p>
        </w:tc>
        <w:tc>
          <w:tcPr>
            <w:tcW w:w="4480" w:type="dxa"/>
            <w:tcBorders>
              <w:top w:val="nil"/>
              <w:left w:val="single" w:sz="4" w:space="0" w:color="auto"/>
              <w:bottom w:val="single" w:sz="8" w:space="0" w:color="DDD9C3"/>
              <w:right w:val="single" w:sz="8" w:space="0" w:color="DDD9C3"/>
            </w:tcBorders>
            <w:shd w:val="clear" w:color="auto" w:fill="EEECE1"/>
            <w:vAlign w:val="center"/>
          </w:tcPr>
          <w:p w:rsidR="00DA14C8" w:rsidRPr="00E906A0" w:rsidRDefault="00DA14C8" w:rsidP="001D7DBC">
            <w:pPr>
              <w:ind w:firstLineChars="100" w:firstLine="220"/>
              <w:rPr>
                <w:sz w:val="22"/>
                <w:szCs w:val="20"/>
              </w:rPr>
            </w:pPr>
            <w:r w:rsidRPr="00E906A0">
              <w:rPr>
                <w:rFonts w:eastAsia="SimSun"/>
                <w:sz w:val="22"/>
                <w:szCs w:val="20"/>
                <w:lang w:eastAsia="zh-CN"/>
              </w:rPr>
              <w:t xml:space="preserve">  28,9%</w:t>
            </w:r>
          </w:p>
        </w:tc>
      </w:tr>
    </w:tbl>
    <w:p w:rsidR="00B23341" w:rsidRDefault="00DA14C8" w:rsidP="00B23341">
      <w:pPr>
        <w:rPr>
          <w:sz w:val="22"/>
          <w:szCs w:val="22"/>
        </w:rPr>
      </w:pPr>
      <w:r w:rsidRPr="003007C1">
        <w:rPr>
          <w:sz w:val="22"/>
          <w:szCs w:val="22"/>
        </w:rPr>
        <w:t xml:space="preserve">(*) İş Yatırım’ın mali tablolarına </w:t>
      </w:r>
      <w:proofErr w:type="gramStart"/>
      <w:r w:rsidRPr="003007C1">
        <w:rPr>
          <w:sz w:val="22"/>
          <w:szCs w:val="22"/>
        </w:rPr>
        <w:t>konsolide</w:t>
      </w:r>
      <w:proofErr w:type="gramEnd"/>
      <w:r w:rsidRPr="003007C1">
        <w:rPr>
          <w:sz w:val="22"/>
          <w:szCs w:val="22"/>
        </w:rPr>
        <w:t xml:space="preserve"> olan iştirakler</w:t>
      </w:r>
    </w:p>
    <w:p w:rsidR="00DA14C8" w:rsidRPr="00BF7764" w:rsidRDefault="00B23341" w:rsidP="00B23341">
      <w:pPr>
        <w:rPr>
          <w:sz w:val="22"/>
          <w:szCs w:val="22"/>
        </w:rPr>
      </w:pPr>
      <w:r w:rsidRPr="00BF7764">
        <w:rPr>
          <w:sz w:val="22"/>
          <w:szCs w:val="22"/>
        </w:rPr>
        <w:t>30 Eylül 2016 itibarıyla</w:t>
      </w:r>
    </w:p>
    <w:p w:rsidR="00B23341" w:rsidRPr="00EF282B" w:rsidRDefault="00B23341" w:rsidP="00B23341">
      <w:pPr>
        <w:jc w:val="right"/>
        <w:rPr>
          <w:b/>
          <w:sz w:val="22"/>
          <w:szCs w:val="22"/>
        </w:rPr>
      </w:pPr>
      <w:r w:rsidRPr="00EF282B">
        <w:rPr>
          <w:b/>
          <w:sz w:val="22"/>
          <w:szCs w:val="22"/>
        </w:rPr>
        <w:t>İş Yatırım Menkul Değerler A.Ş.</w:t>
      </w:r>
    </w:p>
    <w:p w:rsidR="00B23341" w:rsidRPr="003007C1" w:rsidRDefault="00B23341" w:rsidP="00B23341">
      <w:pPr>
        <w:jc w:val="right"/>
        <w:rPr>
          <w:sz w:val="22"/>
          <w:szCs w:val="22"/>
        </w:rPr>
      </w:pPr>
      <w:r w:rsidRPr="003007C1">
        <w:rPr>
          <w:sz w:val="22"/>
          <w:szCs w:val="22"/>
        </w:rPr>
        <w:t>İş Kuleleri Kule 2 Kat 12</w:t>
      </w:r>
    </w:p>
    <w:p w:rsidR="00B23341" w:rsidRPr="003007C1" w:rsidRDefault="00B23341" w:rsidP="00B23341">
      <w:pPr>
        <w:jc w:val="right"/>
        <w:rPr>
          <w:sz w:val="22"/>
          <w:szCs w:val="22"/>
        </w:rPr>
      </w:pPr>
      <w:r w:rsidRPr="003007C1">
        <w:rPr>
          <w:sz w:val="22"/>
          <w:szCs w:val="22"/>
        </w:rPr>
        <w:t>4. Levent – İstanbul</w:t>
      </w:r>
    </w:p>
    <w:p w:rsidR="00B23341" w:rsidRPr="003007C1" w:rsidRDefault="00B23341" w:rsidP="00B23341">
      <w:pPr>
        <w:jc w:val="right"/>
        <w:rPr>
          <w:sz w:val="22"/>
          <w:szCs w:val="22"/>
        </w:rPr>
      </w:pPr>
      <w:r w:rsidRPr="003007C1">
        <w:rPr>
          <w:b/>
          <w:sz w:val="22"/>
          <w:szCs w:val="22"/>
        </w:rPr>
        <w:t>T:</w:t>
      </w:r>
      <w:r w:rsidRPr="003007C1">
        <w:rPr>
          <w:sz w:val="22"/>
          <w:szCs w:val="22"/>
        </w:rPr>
        <w:t xml:space="preserve"> 0212 350 2000</w:t>
      </w:r>
      <w:r>
        <w:rPr>
          <w:sz w:val="22"/>
          <w:szCs w:val="22"/>
        </w:rPr>
        <w:t xml:space="preserve"> </w:t>
      </w:r>
      <w:hyperlink r:id="rId8" w:history="1">
        <w:r w:rsidRPr="003007C1">
          <w:rPr>
            <w:rStyle w:val="Hyperlink"/>
            <w:sz w:val="22"/>
            <w:szCs w:val="22"/>
          </w:rPr>
          <w:t>www.isyatirim.com.tr</w:t>
        </w:r>
      </w:hyperlink>
    </w:p>
    <w:sectPr w:rsidR="00B23341" w:rsidRPr="003007C1" w:rsidSect="00DA5293">
      <w:headerReference w:type="default" r:id="rId9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E6" w:rsidRDefault="009E6AE6" w:rsidP="00FD7991">
      <w:r>
        <w:separator/>
      </w:r>
    </w:p>
  </w:endnote>
  <w:endnote w:type="continuationSeparator" w:id="0">
    <w:p w:rsidR="009E6AE6" w:rsidRDefault="009E6AE6" w:rsidP="00FD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E6" w:rsidRDefault="009E6AE6" w:rsidP="00FD7991">
      <w:r>
        <w:separator/>
      </w:r>
    </w:p>
  </w:footnote>
  <w:footnote w:type="continuationSeparator" w:id="0">
    <w:p w:rsidR="009E6AE6" w:rsidRDefault="009E6AE6" w:rsidP="00FD7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991" w:rsidRDefault="00FD7991" w:rsidP="00FD7991">
    <w:pPr>
      <w:pStyle w:val="Header"/>
      <w:jc w:val="right"/>
    </w:pPr>
    <w:r>
      <w:rPr>
        <w:noProof/>
      </w:rPr>
      <w:drawing>
        <wp:inline distT="0" distB="0" distL="0" distR="0" wp14:anchorId="5671130A" wp14:editId="7077DAE4">
          <wp:extent cx="1652270" cy="433070"/>
          <wp:effectExtent l="0" t="0" r="508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270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1801"/>
    <w:multiLevelType w:val="hybridMultilevel"/>
    <w:tmpl w:val="6D4A37E4"/>
    <w:lvl w:ilvl="0" w:tplc="041F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BE69F1"/>
    <w:multiLevelType w:val="hybridMultilevel"/>
    <w:tmpl w:val="8E3AD3BA"/>
    <w:lvl w:ilvl="0" w:tplc="35A2CE6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2F5496" w:themeColor="accent5" w:themeShade="BF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03226"/>
    <w:multiLevelType w:val="hybridMultilevel"/>
    <w:tmpl w:val="B8BE0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202"/>
    <w:rsid w:val="000508F0"/>
    <w:rsid w:val="000B4CD9"/>
    <w:rsid w:val="00125DBC"/>
    <w:rsid w:val="001271E7"/>
    <w:rsid w:val="00147F5B"/>
    <w:rsid w:val="001C7E0C"/>
    <w:rsid w:val="001F3407"/>
    <w:rsid w:val="00222BFC"/>
    <w:rsid w:val="00254D5D"/>
    <w:rsid w:val="00280890"/>
    <w:rsid w:val="002848D2"/>
    <w:rsid w:val="002B7012"/>
    <w:rsid w:val="002C7AF8"/>
    <w:rsid w:val="002D4292"/>
    <w:rsid w:val="002F3ADC"/>
    <w:rsid w:val="00324FE5"/>
    <w:rsid w:val="003431BE"/>
    <w:rsid w:val="00346118"/>
    <w:rsid w:val="003A436B"/>
    <w:rsid w:val="003B610F"/>
    <w:rsid w:val="003E3879"/>
    <w:rsid w:val="0043366C"/>
    <w:rsid w:val="004476D9"/>
    <w:rsid w:val="00451755"/>
    <w:rsid w:val="00457E6F"/>
    <w:rsid w:val="00474130"/>
    <w:rsid w:val="00485663"/>
    <w:rsid w:val="004A07B6"/>
    <w:rsid w:val="004C35A5"/>
    <w:rsid w:val="004E36AC"/>
    <w:rsid w:val="0051168D"/>
    <w:rsid w:val="00644319"/>
    <w:rsid w:val="00660C19"/>
    <w:rsid w:val="006E5F94"/>
    <w:rsid w:val="006F42CA"/>
    <w:rsid w:val="006F6EF3"/>
    <w:rsid w:val="007076BC"/>
    <w:rsid w:val="007124EB"/>
    <w:rsid w:val="007767F3"/>
    <w:rsid w:val="0078377E"/>
    <w:rsid w:val="00790FC9"/>
    <w:rsid w:val="007C2F17"/>
    <w:rsid w:val="007E5054"/>
    <w:rsid w:val="007F37BC"/>
    <w:rsid w:val="008059B0"/>
    <w:rsid w:val="00840202"/>
    <w:rsid w:val="00844D22"/>
    <w:rsid w:val="00875937"/>
    <w:rsid w:val="008D5D83"/>
    <w:rsid w:val="008E31DF"/>
    <w:rsid w:val="009862C5"/>
    <w:rsid w:val="009E6AE6"/>
    <w:rsid w:val="00A22DEF"/>
    <w:rsid w:val="00A447E6"/>
    <w:rsid w:val="00A766EA"/>
    <w:rsid w:val="00B23341"/>
    <w:rsid w:val="00BE3005"/>
    <w:rsid w:val="00BF2D9A"/>
    <w:rsid w:val="00BF7764"/>
    <w:rsid w:val="00C033AB"/>
    <w:rsid w:val="00C34724"/>
    <w:rsid w:val="00C52EC2"/>
    <w:rsid w:val="00CB24C7"/>
    <w:rsid w:val="00D007EC"/>
    <w:rsid w:val="00D21D73"/>
    <w:rsid w:val="00D23B9A"/>
    <w:rsid w:val="00D809C0"/>
    <w:rsid w:val="00DA14C8"/>
    <w:rsid w:val="00DA5293"/>
    <w:rsid w:val="00E01AEE"/>
    <w:rsid w:val="00E906A0"/>
    <w:rsid w:val="00EB76C9"/>
    <w:rsid w:val="00EF282B"/>
    <w:rsid w:val="00F169EC"/>
    <w:rsid w:val="00FD2444"/>
    <w:rsid w:val="00FD7991"/>
    <w:rsid w:val="00FF2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1AD5A6C-DA1F-415D-825A-727B09890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3407"/>
    <w:pPr>
      <w:spacing w:after="0" w:line="240" w:lineRule="auto"/>
    </w:pPr>
    <w:rPr>
      <w:rFonts w:ascii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020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767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67F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67F3"/>
    <w:rPr>
      <w:rFonts w:ascii="Times New Roman" w:hAnsi="Times New Roman" w:cs="Times New Roman"/>
      <w:sz w:val="20"/>
      <w:szCs w:val="20"/>
      <w:lang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67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67F3"/>
    <w:rPr>
      <w:rFonts w:ascii="Times New Roman" w:hAnsi="Times New Roman" w:cs="Times New Roman"/>
      <w:b/>
      <w:bCs/>
      <w:sz w:val="20"/>
      <w:szCs w:val="20"/>
      <w:lang w:eastAsia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7F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7F3"/>
    <w:rPr>
      <w:rFonts w:ascii="Segoe UI" w:hAnsi="Segoe UI" w:cs="Segoe UI"/>
      <w:sz w:val="18"/>
      <w:szCs w:val="18"/>
      <w:lang w:eastAsia="tr-TR"/>
    </w:rPr>
  </w:style>
  <w:style w:type="character" w:styleId="IntenseReference">
    <w:name w:val="Intense Reference"/>
    <w:basedOn w:val="DefaultParagraphFont"/>
    <w:uiPriority w:val="32"/>
    <w:qFormat/>
    <w:rsid w:val="00C52EC2"/>
    <w:rPr>
      <w:b/>
      <w:bCs/>
      <w:smallCaps/>
      <w:color w:val="ED7D31" w:themeColor="accent2"/>
      <w:spacing w:val="5"/>
      <w:u w:val="single"/>
    </w:rPr>
  </w:style>
  <w:style w:type="paragraph" w:styleId="BodyText2">
    <w:name w:val="Body Text 2"/>
    <w:basedOn w:val="Normal"/>
    <w:link w:val="BodyText2Char"/>
    <w:rsid w:val="00DA14C8"/>
    <w:pPr>
      <w:spacing w:after="120" w:line="480" w:lineRule="auto"/>
    </w:pPr>
    <w:rPr>
      <w:rFonts w:eastAsia="Times New Roman"/>
      <w:lang w:val="en-US" w:eastAsia="en-US"/>
    </w:rPr>
  </w:style>
  <w:style w:type="character" w:customStyle="1" w:styleId="BodyText2Char">
    <w:name w:val="Body Text 2 Char"/>
    <w:basedOn w:val="DefaultParagraphFont"/>
    <w:link w:val="BodyText2"/>
    <w:rsid w:val="00DA14C8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rsid w:val="00DA14C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FD799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7991"/>
    <w:rPr>
      <w:rFonts w:ascii="Times New Roman" w:hAnsi="Times New Roman" w:cs="Times New Roman"/>
      <w:sz w:val="24"/>
      <w:szCs w:val="24"/>
      <w:lang w:eastAsia="tr-TR"/>
    </w:rPr>
  </w:style>
  <w:style w:type="paragraph" w:styleId="Footer">
    <w:name w:val="footer"/>
    <w:basedOn w:val="Normal"/>
    <w:link w:val="FooterChar"/>
    <w:uiPriority w:val="99"/>
    <w:unhideWhenUsed/>
    <w:rsid w:val="00FD799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991"/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9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yatirim.com.tr" TargetMode="Externa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ocIconURL xmlns="56056961-b8ec-41b6-81c1-1e806e934d3f" xsi:nil="true"/>
    <Unvan xmlns="56056961-b8ec-41b6-81c1-1e806e934d3f" xsi:nil="true"/>
    <EklenmeTarihi xmlns="56056961-b8ec-41b6-81c1-1e806e934d3f">2016-12-13T21:00:00+00:00</EklenmeTarihi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F451FD3CCC793E49835416A5852F873C" ma:contentTypeVersion="7" ma:contentTypeDescription="Yeni belge oluşturun." ma:contentTypeScope="" ma:versionID="243d72fcdb51315e1ba46c7d88394bc9">
  <xsd:schema xmlns:xsd="http://www.w3.org/2001/XMLSchema" xmlns:xs="http://www.w3.org/2001/XMLSchema" xmlns:p="http://schemas.microsoft.com/office/2006/metadata/properties" xmlns:ns1="http://schemas.microsoft.com/sharepoint/v3" xmlns:ns2="56056961-b8ec-41b6-81c1-1e806e934d3f" targetNamespace="http://schemas.microsoft.com/office/2006/metadata/properties" ma:root="true" ma:fieldsID="6b2858b128d62deb48143583e82e7c25" ns1:_="" ns2:_="">
    <xsd:import namespace="http://schemas.microsoft.com/sharepoint/v3"/>
    <xsd:import namespace="56056961-b8ec-41b6-81c1-1e806e934d3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ocIconURL" minOccurs="0"/>
                <xsd:element ref="ns2:Unvan" minOccurs="0"/>
                <xsd:element ref="ns2:EklenmeTarih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hidden="true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56961-b8ec-41b6-81c1-1e806e934d3f" elementFormDefault="qualified">
    <xsd:import namespace="http://schemas.microsoft.com/office/2006/documentManagement/types"/>
    <xsd:import namespace="http://schemas.microsoft.com/office/infopath/2007/PartnerControls"/>
    <xsd:element name="DocIconURL" ma:index="10" nillable="true" ma:displayName="Document Icon URL" ma:internalName="DocIconURL">
      <xsd:simpleType>
        <xsd:restriction base="dms:Text">
          <xsd:maxLength value="255"/>
        </xsd:restriction>
      </xsd:simpleType>
    </xsd:element>
    <xsd:element name="Unvan" ma:index="11" nillable="true" ma:displayName="Unvan" ma:internalName="Unvan">
      <xsd:simpleType>
        <xsd:restriction base="dms:Text">
          <xsd:maxLength value="255"/>
        </xsd:restriction>
      </xsd:simpleType>
    </xsd:element>
    <xsd:element name="EklenmeTarihi" ma:index="12" nillable="true" ma:displayName="Eklenme Tarihi" ma:default="[today]" ma:format="DateOnly" ma:internalName="EklenmeTarihi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93431B-35C3-4A1C-B5C7-7105F1E1134D}"/>
</file>

<file path=customXml/itemProps2.xml><?xml version="1.0" encoding="utf-8"?>
<ds:datastoreItem xmlns:ds="http://schemas.openxmlformats.org/officeDocument/2006/customXml" ds:itemID="{9EF020FC-A1B4-404C-B10F-893879989BB1}"/>
</file>

<file path=customXml/itemProps3.xml><?xml version="1.0" encoding="utf-8"?>
<ds:datastoreItem xmlns:ds="http://schemas.openxmlformats.org/officeDocument/2006/customXml" ds:itemID="{8F175447-6723-41C1-9DD7-2EE1F099D7B1}"/>
</file>

<file path=customXml/itemProps4.xml><?xml version="1.0" encoding="utf-8"?>
<ds:datastoreItem xmlns:ds="http://schemas.openxmlformats.org/officeDocument/2006/customXml" ds:itemID="{694B092F-B0CE-4CC7-905B-0FEEB92B256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 Yılda İş Yatırım</dc:title>
  <dc:subject/>
  <dc:creator>Ozan Altan</dc:creator>
  <cp:keywords/>
  <dc:description/>
  <cp:lastModifiedBy>Gokce Kirimli</cp:lastModifiedBy>
  <cp:revision>2</cp:revision>
  <cp:lastPrinted>2016-12-17T12:46:00Z</cp:lastPrinted>
  <dcterms:created xsi:type="dcterms:W3CDTF">2017-01-30T13:18:00Z</dcterms:created>
  <dcterms:modified xsi:type="dcterms:W3CDTF">2017-01-30T13:18:00Z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0x010100F451FD3CCC793E49835416A5852F873C</vt:lpwstr>
  </property>
</Properties>
</file>